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B76" w:rsidRDefault="00E10B76">
      <w:pPr>
        <w:pStyle w:val="ConsPlusNormal"/>
        <w:outlineLvl w:val="0"/>
      </w:pPr>
      <w:r>
        <w:t>Зарегистрировано в Минюсте России 2 декабря 2020 г. N 61230</w:t>
      </w:r>
    </w:p>
    <w:p w:rsidR="00E10B76" w:rsidRDefault="00E10B76">
      <w:pPr>
        <w:pStyle w:val="ConsPlusNormal"/>
        <w:pBdr>
          <w:bottom w:val="single" w:sz="6" w:space="0" w:color="auto"/>
        </w:pBdr>
        <w:spacing w:before="100" w:after="100"/>
        <w:jc w:val="both"/>
        <w:rPr>
          <w:sz w:val="2"/>
          <w:szCs w:val="2"/>
        </w:rPr>
      </w:pPr>
    </w:p>
    <w:p w:rsidR="00E10B76" w:rsidRDefault="00E10B76">
      <w:pPr>
        <w:pStyle w:val="ConsPlusNormal"/>
        <w:jc w:val="both"/>
      </w:pPr>
    </w:p>
    <w:p w:rsidR="00E10B76" w:rsidRDefault="00E10B76">
      <w:pPr>
        <w:pStyle w:val="ConsPlusTitle"/>
        <w:jc w:val="center"/>
      </w:pPr>
      <w:r>
        <w:t>МИНИСТЕРСТВО ФИНАНСОВ РОССИЙСКОЙ ФЕДЕРАЦИИ</w:t>
      </w:r>
    </w:p>
    <w:p w:rsidR="00E10B76" w:rsidRDefault="00E10B76">
      <w:pPr>
        <w:pStyle w:val="ConsPlusTitle"/>
        <w:jc w:val="center"/>
      </w:pPr>
    </w:p>
    <w:p w:rsidR="00E10B76" w:rsidRDefault="00E10B76">
      <w:pPr>
        <w:pStyle w:val="ConsPlusTitle"/>
        <w:jc w:val="center"/>
      </w:pPr>
      <w:r>
        <w:t>ПРИКАЗ</w:t>
      </w:r>
    </w:p>
    <w:p w:rsidR="00E10B76" w:rsidRDefault="00E10B76">
      <w:pPr>
        <w:pStyle w:val="ConsPlusTitle"/>
        <w:jc w:val="center"/>
      </w:pPr>
      <w:r>
        <w:t>от 30 октября 2020 г. N 257н</w:t>
      </w:r>
    </w:p>
    <w:p w:rsidR="00E10B76" w:rsidRDefault="00E10B76">
      <w:pPr>
        <w:pStyle w:val="ConsPlusTitle"/>
        <w:jc w:val="center"/>
      </w:pPr>
    </w:p>
    <w:p w:rsidR="00E10B76" w:rsidRDefault="00E10B76">
      <w:pPr>
        <w:pStyle w:val="ConsPlusTitle"/>
        <w:jc w:val="center"/>
      </w:pPr>
      <w:r>
        <w:t>ОБ УТВЕРЖДЕНИИ ПОРЯДКА</w:t>
      </w:r>
    </w:p>
    <w:p w:rsidR="00E10B76" w:rsidRDefault="00E10B76">
      <w:pPr>
        <w:pStyle w:val="ConsPlusTitle"/>
        <w:jc w:val="center"/>
      </w:pPr>
      <w:r>
        <w:t>САНКЦИОНИРОВАНИЯ ОПЛАТЫ ДЕНЕЖНЫХ ОБЯЗАТЕЛЬСТВ</w:t>
      </w:r>
    </w:p>
    <w:p w:rsidR="00E10B76" w:rsidRDefault="00E10B76">
      <w:pPr>
        <w:pStyle w:val="ConsPlusTitle"/>
        <w:jc w:val="center"/>
      </w:pPr>
      <w:r>
        <w:t>ПОЛУЧАТЕЛЕЙ СРЕДСТВ ФЕДЕРАЛЬНОГО БЮДЖЕТА И ОПЛАТЫ ДЕНЕЖНЫХ</w:t>
      </w:r>
    </w:p>
    <w:p w:rsidR="00E10B76" w:rsidRDefault="00E10B76">
      <w:pPr>
        <w:pStyle w:val="ConsPlusTitle"/>
        <w:jc w:val="center"/>
      </w:pPr>
      <w:r>
        <w:t>ОБЯЗАТЕЛЬСТВ, ПОДЛЕЖАЩИХ ИСПОЛНЕНИЮ ЗА СЧЕТ БЮДЖЕТНЫХ</w:t>
      </w:r>
    </w:p>
    <w:p w:rsidR="00E10B76" w:rsidRDefault="00E10B76">
      <w:pPr>
        <w:pStyle w:val="ConsPlusTitle"/>
        <w:jc w:val="center"/>
      </w:pPr>
      <w:r>
        <w:t>АССИГНОВАНИЙ ПО ИСТОЧНИКАМ ФИНАНСИРОВАНИЯ ДЕФИЦИТА</w:t>
      </w:r>
    </w:p>
    <w:p w:rsidR="00E10B76" w:rsidRDefault="00E10B76">
      <w:pPr>
        <w:pStyle w:val="ConsPlusTitle"/>
        <w:jc w:val="center"/>
      </w:pPr>
      <w:r>
        <w:t>ФЕДЕРАЛЬНОГО БЮДЖЕТА</w:t>
      </w:r>
    </w:p>
    <w:p w:rsidR="00E10B76" w:rsidRDefault="00E10B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E10B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B76" w:rsidRDefault="00E10B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B76" w:rsidRDefault="00E10B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B76" w:rsidRDefault="00E10B76">
            <w:pPr>
              <w:pStyle w:val="ConsPlusNormal"/>
              <w:jc w:val="center"/>
            </w:pPr>
            <w:r>
              <w:rPr>
                <w:color w:val="392C69"/>
              </w:rPr>
              <w:t>Список изменяющих документов</w:t>
            </w:r>
          </w:p>
          <w:p w:rsidR="00E10B76" w:rsidRDefault="00E10B76">
            <w:pPr>
              <w:pStyle w:val="ConsPlusNormal"/>
              <w:jc w:val="center"/>
            </w:pPr>
            <w:proofErr w:type="gramStart"/>
            <w:r>
              <w:rPr>
                <w:color w:val="392C69"/>
              </w:rPr>
              <w:t xml:space="preserve">(в ред. Приказов Минфина России от 30.11.2021 </w:t>
            </w:r>
            <w:hyperlink r:id="rId5">
              <w:r>
                <w:rPr>
                  <w:color w:val="0000FF"/>
                </w:rPr>
                <w:t>N 197н</w:t>
              </w:r>
            </w:hyperlink>
            <w:r>
              <w:rPr>
                <w:color w:val="392C69"/>
              </w:rPr>
              <w:t>,</w:t>
            </w:r>
            <w:proofErr w:type="gramEnd"/>
          </w:p>
          <w:p w:rsidR="00E10B76" w:rsidRDefault="00E10B76">
            <w:pPr>
              <w:pStyle w:val="ConsPlusNormal"/>
              <w:jc w:val="center"/>
            </w:pPr>
            <w:r>
              <w:rPr>
                <w:color w:val="392C69"/>
              </w:rPr>
              <w:t xml:space="preserve">от 19.09.2022 </w:t>
            </w:r>
            <w:hyperlink r:id="rId6">
              <w:r>
                <w:rPr>
                  <w:color w:val="0000FF"/>
                </w:rPr>
                <w:t>N 140н</w:t>
              </w:r>
            </w:hyperlink>
            <w:r>
              <w:rPr>
                <w:color w:val="392C69"/>
              </w:rPr>
              <w:t xml:space="preserve">, от 23.08.2024 </w:t>
            </w:r>
            <w:hyperlink r:id="rId7">
              <w:r>
                <w:rPr>
                  <w:color w:val="0000FF"/>
                </w:rPr>
                <w:t>N 119н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0B76" w:rsidRDefault="00E10B76">
            <w:pPr>
              <w:pStyle w:val="ConsPlusNormal"/>
            </w:pPr>
          </w:p>
        </w:tc>
      </w:tr>
    </w:tbl>
    <w:p w:rsidR="00E10B76" w:rsidRDefault="00E10B76">
      <w:pPr>
        <w:pStyle w:val="ConsPlusNormal"/>
        <w:jc w:val="both"/>
      </w:pPr>
    </w:p>
    <w:p w:rsidR="00E10B76" w:rsidRDefault="00E10B76">
      <w:pPr>
        <w:pStyle w:val="ConsPlusNormal"/>
        <w:ind w:firstLine="540"/>
        <w:jc w:val="both"/>
      </w:pPr>
      <w:r>
        <w:t xml:space="preserve">В соответствии с </w:t>
      </w:r>
      <w:hyperlink r:id="rId8">
        <w:r>
          <w:rPr>
            <w:color w:val="0000FF"/>
          </w:rPr>
          <w:t>пунктами 1</w:t>
        </w:r>
      </w:hyperlink>
      <w:r>
        <w:t xml:space="preserve">, </w:t>
      </w:r>
      <w:hyperlink r:id="rId9">
        <w:r>
          <w:rPr>
            <w:color w:val="0000FF"/>
          </w:rPr>
          <w:t>2</w:t>
        </w:r>
      </w:hyperlink>
      <w:r>
        <w:t xml:space="preserve">, </w:t>
      </w:r>
      <w:hyperlink r:id="rId10">
        <w:r>
          <w:rPr>
            <w:color w:val="0000FF"/>
          </w:rPr>
          <w:t>абзацем третьим пункта 5 статьи 219</w:t>
        </w:r>
      </w:hyperlink>
      <w:r>
        <w:t xml:space="preserve"> и </w:t>
      </w:r>
      <w:hyperlink r:id="rId11">
        <w:r>
          <w:rPr>
            <w:color w:val="0000FF"/>
          </w:rPr>
          <w:t>частью второй статьи 219.2</w:t>
        </w:r>
      </w:hyperlink>
      <w:r>
        <w:t xml:space="preserve"> Бюджетного кодекса Российской Федерации (Собрание законодательства Российской Федерации, 1998, N 31, ст. 3823; 2007, N 18, ст. 2117; 2019, N 30, ст. 4101; N 52, ст. 7797) приказываю:</w:t>
      </w:r>
    </w:p>
    <w:p w:rsidR="00E10B76" w:rsidRDefault="00E10B76">
      <w:pPr>
        <w:pStyle w:val="ConsPlusNormal"/>
        <w:spacing w:before="220"/>
        <w:ind w:firstLine="540"/>
        <w:jc w:val="both"/>
      </w:pPr>
      <w:r>
        <w:t xml:space="preserve">1. Утвердить прилагаемый </w:t>
      </w:r>
      <w:hyperlink w:anchor="P38">
        <w:r>
          <w:rPr>
            <w:color w:val="0000FF"/>
          </w:rPr>
          <w:t>Порядок</w:t>
        </w:r>
      </w:hyperlink>
      <w:r>
        <w:t xml:space="preserve"> </w:t>
      </w:r>
      <w:proofErr w:type="gramStart"/>
      <w:r>
        <w:t>санкционирования оплаты денежных обязательств получателей средств федерального бюджета</w:t>
      </w:r>
      <w:proofErr w:type="gramEnd"/>
      <w:r>
        <w:t xml:space="preserve">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E10B76" w:rsidRDefault="00E10B76">
      <w:pPr>
        <w:pStyle w:val="ConsPlusNormal"/>
        <w:spacing w:before="220"/>
        <w:ind w:firstLine="540"/>
        <w:jc w:val="both"/>
      </w:pPr>
      <w:r>
        <w:t>2. Признать утратившими силу:</w:t>
      </w:r>
    </w:p>
    <w:p w:rsidR="00E10B76" w:rsidRDefault="00E10B76">
      <w:pPr>
        <w:pStyle w:val="ConsPlusNormal"/>
        <w:spacing w:before="220"/>
        <w:ind w:firstLine="540"/>
        <w:jc w:val="both"/>
      </w:pPr>
      <w:hyperlink r:id="rId12">
        <w:r>
          <w:rPr>
            <w:color w:val="0000FF"/>
          </w:rPr>
          <w:t>приказ</w:t>
        </w:r>
      </w:hyperlink>
      <w:r>
        <w:t xml:space="preserve"> Министерства финансов Российской Федерации от 17 ноября 2016 г. N 213н "О Порядке </w:t>
      </w:r>
      <w:proofErr w:type="gramStart"/>
      <w:r>
        <w:t>санкционирования оплаты денежных обязательств получателей средств федерального бюджета</w:t>
      </w:r>
      <w:proofErr w:type="gramEnd"/>
      <w:r>
        <w:t xml:space="preserve"> и администраторов источников финансирования дефицита федерального бюджета" (зарегистрирован Министерством юстиции Российской Федерации 23 января 2017 г., регистрационный N 45354);</w:t>
      </w:r>
    </w:p>
    <w:p w:rsidR="00E10B76" w:rsidRDefault="00E10B76">
      <w:pPr>
        <w:pStyle w:val="ConsPlusNormal"/>
        <w:spacing w:before="220"/>
        <w:ind w:firstLine="540"/>
        <w:jc w:val="both"/>
      </w:pPr>
      <w:hyperlink r:id="rId13">
        <w:proofErr w:type="gramStart"/>
        <w:r>
          <w:rPr>
            <w:color w:val="0000FF"/>
          </w:rPr>
          <w:t>приказ</w:t>
        </w:r>
      </w:hyperlink>
      <w:r>
        <w:t xml:space="preserve"> Министерства финансов Российской Федерации от 22 ноября 2017 г. N 198н "О внесении изменений в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утвержденный приказом Министерства финансов Российской Федерации от 17 ноября 2016 г. N 213н" (зарегистрирован Министерством юстиции Российской Федерации 8 декабря 2017 г., регистрационный N 49186).</w:t>
      </w:r>
      <w:proofErr w:type="gramEnd"/>
    </w:p>
    <w:p w:rsidR="00E10B76" w:rsidRDefault="00E10B76">
      <w:pPr>
        <w:pStyle w:val="ConsPlusNormal"/>
        <w:spacing w:before="220"/>
        <w:ind w:firstLine="540"/>
        <w:jc w:val="both"/>
      </w:pPr>
      <w:r>
        <w:t>3. Настоящий приказ вступает в силу с 1 января 2021 г.</w:t>
      </w:r>
    </w:p>
    <w:p w:rsidR="00E10B76" w:rsidRDefault="00E10B76">
      <w:pPr>
        <w:pStyle w:val="ConsPlusNormal"/>
        <w:jc w:val="both"/>
      </w:pPr>
    </w:p>
    <w:p w:rsidR="00E10B76" w:rsidRDefault="00E10B76">
      <w:pPr>
        <w:pStyle w:val="ConsPlusNormal"/>
        <w:jc w:val="right"/>
      </w:pPr>
      <w:r>
        <w:t>Министр</w:t>
      </w:r>
    </w:p>
    <w:p w:rsidR="00E10B76" w:rsidRDefault="00E10B76">
      <w:pPr>
        <w:pStyle w:val="ConsPlusNormal"/>
        <w:jc w:val="right"/>
      </w:pPr>
      <w:r>
        <w:t>А.Г.СИЛУАНОВ</w:t>
      </w:r>
    </w:p>
    <w:p w:rsidR="00E10B76" w:rsidRDefault="00E10B76">
      <w:pPr>
        <w:pStyle w:val="ConsPlusNormal"/>
        <w:jc w:val="both"/>
      </w:pPr>
    </w:p>
    <w:p w:rsidR="00E10B76" w:rsidRDefault="00E10B76">
      <w:pPr>
        <w:pStyle w:val="ConsPlusNormal"/>
        <w:jc w:val="both"/>
      </w:pPr>
    </w:p>
    <w:p w:rsidR="00E10B76" w:rsidRDefault="00E10B76">
      <w:pPr>
        <w:pStyle w:val="ConsPlusNormal"/>
        <w:jc w:val="both"/>
      </w:pPr>
    </w:p>
    <w:p w:rsidR="00E10B76" w:rsidRDefault="00E10B76">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E10B76" w:rsidRDefault="00E10B76">
      <w:pPr>
        <w:pStyle w:val="ConsPlusNormal"/>
        <w:jc w:val="both"/>
      </w:pPr>
    </w:p>
    <w:p w:rsidR="00E10B76" w:rsidRDefault="00E10B76">
      <w:pPr>
        <w:pStyle w:val="ConsPlusNormal"/>
        <w:jc w:val="right"/>
        <w:outlineLvl w:val="0"/>
      </w:pPr>
      <w:r>
        <w:lastRenderedPageBreak/>
        <w:t>Утвержден</w:t>
      </w:r>
    </w:p>
    <w:p w:rsidR="00E10B76" w:rsidRDefault="00E10B76">
      <w:pPr>
        <w:pStyle w:val="ConsPlusNormal"/>
        <w:jc w:val="right"/>
      </w:pPr>
      <w:r>
        <w:t>приказом Министерства финансов</w:t>
      </w:r>
    </w:p>
    <w:p w:rsidR="00E10B76" w:rsidRDefault="00E10B76">
      <w:pPr>
        <w:pStyle w:val="ConsPlusNormal"/>
        <w:jc w:val="right"/>
      </w:pPr>
      <w:r>
        <w:t>Российской Федерации</w:t>
      </w:r>
    </w:p>
    <w:p w:rsidR="00E10B76" w:rsidRDefault="00E10B76">
      <w:pPr>
        <w:pStyle w:val="ConsPlusNormal"/>
        <w:jc w:val="right"/>
      </w:pPr>
      <w:r>
        <w:t>от 30.10.2020 N 257н</w:t>
      </w:r>
    </w:p>
    <w:p w:rsidR="00E10B76" w:rsidRDefault="00E10B76">
      <w:pPr>
        <w:pStyle w:val="ConsPlusNormal"/>
        <w:jc w:val="both"/>
      </w:pPr>
    </w:p>
    <w:p w:rsidR="00E10B76" w:rsidRDefault="00E10B76">
      <w:pPr>
        <w:pStyle w:val="ConsPlusTitle"/>
        <w:jc w:val="center"/>
      </w:pPr>
      <w:bookmarkStart w:id="0" w:name="P38"/>
      <w:bookmarkEnd w:id="0"/>
      <w:r>
        <w:t>ПОРЯДОК</w:t>
      </w:r>
    </w:p>
    <w:p w:rsidR="00E10B76" w:rsidRDefault="00E10B76">
      <w:pPr>
        <w:pStyle w:val="ConsPlusTitle"/>
        <w:jc w:val="center"/>
      </w:pPr>
      <w:r>
        <w:t>САНКЦИОНИРОВАНИЯ ОПЛАТЫ ДЕНЕЖНЫХ ОБЯЗАТЕЛЬСТВ</w:t>
      </w:r>
    </w:p>
    <w:p w:rsidR="00E10B76" w:rsidRDefault="00E10B76">
      <w:pPr>
        <w:pStyle w:val="ConsPlusTitle"/>
        <w:jc w:val="center"/>
      </w:pPr>
      <w:r>
        <w:t>ПОЛУЧАТЕЛЕЙ СРЕДСТВ ФЕДЕРАЛЬНОГО БЮДЖЕТА И ОПЛАТЫ ДЕНЕЖНЫХ</w:t>
      </w:r>
    </w:p>
    <w:p w:rsidR="00E10B76" w:rsidRDefault="00E10B76">
      <w:pPr>
        <w:pStyle w:val="ConsPlusTitle"/>
        <w:jc w:val="center"/>
      </w:pPr>
      <w:r>
        <w:t>ОБЯЗАТЕЛЬСТВ, ПОДЛЕЖАЩИХ ИСПОЛНЕНИЮ ЗА СЧЕТ БЮДЖЕТНЫХ</w:t>
      </w:r>
    </w:p>
    <w:p w:rsidR="00E10B76" w:rsidRDefault="00E10B76">
      <w:pPr>
        <w:pStyle w:val="ConsPlusTitle"/>
        <w:jc w:val="center"/>
      </w:pPr>
      <w:r>
        <w:t>АССИГНОВАНИЙ ПО ИСТОЧНИКАМ ФИНАНСИРОВАНИЯ ДЕФИЦИТА</w:t>
      </w:r>
    </w:p>
    <w:p w:rsidR="00E10B76" w:rsidRDefault="00E10B76">
      <w:pPr>
        <w:pStyle w:val="ConsPlusTitle"/>
        <w:jc w:val="center"/>
      </w:pPr>
      <w:r>
        <w:t>ФЕДЕРАЛЬНОГО БЮДЖЕТА</w:t>
      </w:r>
    </w:p>
    <w:p w:rsidR="00E10B76" w:rsidRDefault="00E10B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E10B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B76" w:rsidRDefault="00E10B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B76" w:rsidRDefault="00E10B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B76" w:rsidRDefault="00E10B76">
            <w:pPr>
              <w:pStyle w:val="ConsPlusNormal"/>
              <w:jc w:val="center"/>
            </w:pPr>
            <w:r>
              <w:rPr>
                <w:color w:val="392C69"/>
              </w:rPr>
              <w:t>Список изменяющих документов</w:t>
            </w:r>
          </w:p>
          <w:p w:rsidR="00E10B76" w:rsidRDefault="00E10B76">
            <w:pPr>
              <w:pStyle w:val="ConsPlusNormal"/>
              <w:jc w:val="center"/>
            </w:pPr>
            <w:proofErr w:type="gramStart"/>
            <w:r>
              <w:rPr>
                <w:color w:val="392C69"/>
              </w:rPr>
              <w:t xml:space="preserve">(в ред. Приказов Минфина России от 30.11.2021 </w:t>
            </w:r>
            <w:hyperlink r:id="rId14">
              <w:r>
                <w:rPr>
                  <w:color w:val="0000FF"/>
                </w:rPr>
                <w:t>N 197н</w:t>
              </w:r>
            </w:hyperlink>
            <w:r>
              <w:rPr>
                <w:color w:val="392C69"/>
              </w:rPr>
              <w:t>,</w:t>
            </w:r>
            <w:proofErr w:type="gramEnd"/>
          </w:p>
          <w:p w:rsidR="00E10B76" w:rsidRDefault="00E10B76">
            <w:pPr>
              <w:pStyle w:val="ConsPlusNormal"/>
              <w:jc w:val="center"/>
            </w:pPr>
            <w:r>
              <w:rPr>
                <w:color w:val="392C69"/>
              </w:rPr>
              <w:t xml:space="preserve">от 19.09.2022 </w:t>
            </w:r>
            <w:hyperlink r:id="rId15">
              <w:r>
                <w:rPr>
                  <w:color w:val="0000FF"/>
                </w:rPr>
                <w:t>N 140н</w:t>
              </w:r>
            </w:hyperlink>
            <w:r>
              <w:rPr>
                <w:color w:val="392C69"/>
              </w:rPr>
              <w:t xml:space="preserve">, от 23.08.2024 </w:t>
            </w:r>
            <w:hyperlink r:id="rId16">
              <w:r>
                <w:rPr>
                  <w:color w:val="0000FF"/>
                </w:rPr>
                <w:t>N 119н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0B76" w:rsidRDefault="00E10B76">
            <w:pPr>
              <w:pStyle w:val="ConsPlusNormal"/>
            </w:pPr>
          </w:p>
        </w:tc>
      </w:tr>
    </w:tbl>
    <w:p w:rsidR="00E10B76" w:rsidRDefault="00E10B76">
      <w:pPr>
        <w:pStyle w:val="ConsPlusNormal"/>
        <w:jc w:val="both"/>
      </w:pPr>
    </w:p>
    <w:p w:rsidR="00E10B76" w:rsidRDefault="00E10B76">
      <w:pPr>
        <w:pStyle w:val="ConsPlusNormal"/>
        <w:ind w:firstLine="540"/>
        <w:jc w:val="both"/>
      </w:pPr>
      <w:r>
        <w:t xml:space="preserve">1. Настоящий Порядок устанавливает порядок санкционирования территориальными органами Федерального казначейства (далее - органы Федерального казначейства) оплаты за счет </w:t>
      </w:r>
      <w:proofErr w:type="gramStart"/>
      <w:r>
        <w:t>средств федерального бюджета денежных обязательств получателей средств федерального бюджета</w:t>
      </w:r>
      <w:proofErr w:type="gramEnd"/>
      <w:r>
        <w:t xml:space="preserve">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E10B76" w:rsidRDefault="00E10B76">
      <w:pPr>
        <w:pStyle w:val="ConsPlusNormal"/>
        <w:spacing w:before="220"/>
        <w:ind w:firstLine="540"/>
        <w:jc w:val="both"/>
      </w:pPr>
      <w:r>
        <w:t xml:space="preserve">2. </w:t>
      </w:r>
      <w:proofErr w:type="gramStart"/>
      <w:r>
        <w:t>Для оплаты денежных обязательств получатель средств федерального бюджета (администратор источников финансирования дефицита федерального бюджета) представляет в орган Федерального казначейства по месту обслуживания лицевого счета получателя бюджетных средств (администратора источников финансирования дефицита федерального бюджета), лицевого счета для учета операций по переданным полномочиям получателя бюджетных средств (далее - соответствующий лицевой счет) распоряжение о совершении казначейского платежа в соответствии с порядком казначейского обслуживания, установленным</w:t>
      </w:r>
      <w:proofErr w:type="gramEnd"/>
      <w:r>
        <w:t xml:space="preserve"> Федеральным казначейством &lt;1&gt; (далее - Распоряжение, порядок казначейского обслуживания).</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&lt;1&gt; </w:t>
      </w:r>
      <w:hyperlink r:id="rId17">
        <w:r>
          <w:rPr>
            <w:color w:val="0000FF"/>
          </w:rPr>
          <w:t>Пункт 4 статьи 242.14</w:t>
        </w:r>
      </w:hyperlink>
      <w:r>
        <w:t xml:space="preserve"> Бюджетного кодекса Российской Федерации (Собрание законодательства Российской Федерации, 1998, N 31, ст. 3823; 2019, N 52, ст. 7797).</w:t>
      </w:r>
    </w:p>
    <w:p w:rsidR="00E10B76" w:rsidRDefault="00E10B76">
      <w:pPr>
        <w:pStyle w:val="ConsPlusNormal"/>
        <w:jc w:val="both"/>
      </w:pPr>
    </w:p>
    <w:p w:rsidR="00E10B76" w:rsidRDefault="00E10B76">
      <w:pPr>
        <w:pStyle w:val="ConsPlusNormal"/>
        <w:ind w:firstLine="540"/>
        <w:jc w:val="both"/>
      </w:pPr>
      <w:bookmarkStart w:id="1" w:name="P53"/>
      <w:bookmarkEnd w:id="1"/>
      <w:r>
        <w:t xml:space="preserve">3. Орган Федерального казначейства проверяет Распоряжение на наличие в нем реквизитов и показателей, предусмотренных </w:t>
      </w:r>
      <w:hyperlink w:anchor="P56">
        <w:r>
          <w:rPr>
            <w:color w:val="0000FF"/>
          </w:rPr>
          <w:t>пунктом 4</w:t>
        </w:r>
      </w:hyperlink>
      <w:r>
        <w:t xml:space="preserve"> настоящего Порядка (с учетом положений </w:t>
      </w:r>
      <w:hyperlink w:anchor="P107">
        <w:r>
          <w:rPr>
            <w:color w:val="0000FF"/>
          </w:rPr>
          <w:t>пункта 5</w:t>
        </w:r>
      </w:hyperlink>
      <w:r>
        <w:t xml:space="preserve"> настоящего Порядка), на соответствие требованиям, установленным </w:t>
      </w:r>
      <w:hyperlink w:anchor="P113">
        <w:r>
          <w:rPr>
            <w:color w:val="0000FF"/>
          </w:rPr>
          <w:t>пунктами 6</w:t>
        </w:r>
      </w:hyperlink>
      <w:r>
        <w:t xml:space="preserve">, </w:t>
      </w:r>
      <w:hyperlink w:anchor="P160">
        <w:r>
          <w:rPr>
            <w:color w:val="0000FF"/>
          </w:rPr>
          <w:t>7</w:t>
        </w:r>
      </w:hyperlink>
      <w:r>
        <w:t xml:space="preserve">, </w:t>
      </w:r>
      <w:hyperlink w:anchor="P166">
        <w:r>
          <w:rPr>
            <w:color w:val="0000FF"/>
          </w:rPr>
          <w:t>10</w:t>
        </w:r>
      </w:hyperlink>
      <w:r>
        <w:t xml:space="preserve"> и </w:t>
      </w:r>
      <w:hyperlink w:anchor="P170">
        <w:r>
          <w:rPr>
            <w:color w:val="0000FF"/>
          </w:rPr>
          <w:t>11</w:t>
        </w:r>
      </w:hyperlink>
      <w:r>
        <w:t xml:space="preserve"> настоящего Порядка, а также наличие документов, предусмотренных </w:t>
      </w:r>
      <w:hyperlink w:anchor="P160">
        <w:r>
          <w:rPr>
            <w:color w:val="0000FF"/>
          </w:rPr>
          <w:t>пунктами 7</w:t>
        </w:r>
      </w:hyperlink>
      <w:r>
        <w:t xml:space="preserve"> - </w:t>
      </w:r>
      <w:hyperlink w:anchor="P164">
        <w:r>
          <w:rPr>
            <w:color w:val="0000FF"/>
          </w:rPr>
          <w:t>9</w:t>
        </w:r>
      </w:hyperlink>
      <w:r>
        <w:t xml:space="preserve"> настоящего Порядка:</w:t>
      </w:r>
    </w:p>
    <w:p w:rsidR="00E10B76" w:rsidRDefault="00E10B76">
      <w:pPr>
        <w:pStyle w:val="ConsPlusNormal"/>
        <w:spacing w:before="220"/>
        <w:ind w:firstLine="540"/>
        <w:jc w:val="both"/>
      </w:pPr>
      <w:r>
        <w:t>не позднее рабочего дня, следующего за днем представления получателем средств федерального бюджета (администратором источников финансирования дефицита федерального бюджета) Распоряжения в орган Федерального казначейства;</w:t>
      </w:r>
    </w:p>
    <w:p w:rsidR="00E10B76" w:rsidRDefault="00E10B76">
      <w:pPr>
        <w:pStyle w:val="ConsPlusNormal"/>
        <w:spacing w:before="220"/>
        <w:ind w:firstLine="540"/>
        <w:jc w:val="both"/>
      </w:pPr>
      <w:r>
        <w:t xml:space="preserve">не позднее четвертого рабочего дня, следующего за днем представления получателем средств федерального бюджета Распоряжения в орган Федерального казначейства, в случаях, установленных </w:t>
      </w:r>
      <w:hyperlink w:anchor="P155">
        <w:r>
          <w:rPr>
            <w:color w:val="0000FF"/>
          </w:rPr>
          <w:t>абзацем вторым подпункта 16 пункта 6</w:t>
        </w:r>
      </w:hyperlink>
      <w:r>
        <w:t xml:space="preserve"> настоящего Порядка.</w:t>
      </w:r>
    </w:p>
    <w:p w:rsidR="00E10B76" w:rsidRDefault="00E10B76">
      <w:pPr>
        <w:pStyle w:val="ConsPlusNormal"/>
        <w:spacing w:before="220"/>
        <w:ind w:firstLine="540"/>
        <w:jc w:val="both"/>
      </w:pPr>
      <w:bookmarkStart w:id="2" w:name="P56"/>
      <w:bookmarkEnd w:id="2"/>
      <w:r>
        <w:t>4. Распоряжение проверяется на наличие в нем следующих реквизитов и показателей:</w:t>
      </w:r>
    </w:p>
    <w:p w:rsidR="00E10B76" w:rsidRDefault="00E10B76">
      <w:pPr>
        <w:pStyle w:val="ConsPlusNormal"/>
        <w:spacing w:before="220"/>
        <w:ind w:firstLine="540"/>
        <w:jc w:val="both"/>
      </w:pPr>
      <w:proofErr w:type="gramStart"/>
      <w:r>
        <w:t>1) подписей, соответствующих имеющимся образцам, представленным получателем средств федерального бюджета (администратором источников финансирования дефицита федерального бюджета) для открытия соответствующего лицевого счета в порядке, установленным Федеральным казначейством &lt;2&gt; (за исключением Распоряжения, сформированного и подписанного в единой информационной системе в сфере закупок &lt;2.1&gt; руководителем или уполномоченным им на то лицом с правом первой подписи и главным бухгалтером или уполномоченным им на то</w:t>
      </w:r>
      <w:proofErr w:type="gramEnd"/>
      <w:r>
        <w:t xml:space="preserve"> лицом (руководителем организации, осуществляющей </w:t>
      </w:r>
      <w:r>
        <w:lastRenderedPageBreak/>
        <w:t>полномочие по ведению бюджетного учета), с учетом сроков оплаты товаров, работ, услуг,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&lt;2.2&gt;);</w:t>
      </w:r>
    </w:p>
    <w:p w:rsidR="00E10B76" w:rsidRDefault="00E10B76">
      <w:pPr>
        <w:pStyle w:val="ConsPlusNormal"/>
        <w:jc w:val="both"/>
      </w:pPr>
      <w:r>
        <w:t xml:space="preserve">(в ред. </w:t>
      </w:r>
      <w:hyperlink r:id="rId18">
        <w:r>
          <w:rPr>
            <w:color w:val="0000FF"/>
          </w:rPr>
          <w:t>Приказа</w:t>
        </w:r>
      </w:hyperlink>
      <w:r>
        <w:t xml:space="preserve"> Минфина России от 19.09.2022 N 140н)</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&lt;2&gt; </w:t>
      </w:r>
      <w:hyperlink r:id="rId19">
        <w:r>
          <w:rPr>
            <w:color w:val="0000FF"/>
          </w:rPr>
          <w:t>Пункт 9 статьи 220.1</w:t>
        </w:r>
      </w:hyperlink>
      <w:r>
        <w:t xml:space="preserve"> Бюджетного кодекса Российской Федерации (Собрание законодательства Российской Федерации, 1998, N 31, ст. 3823; 2019, N 52, ст. 7797).</w:t>
      </w:r>
    </w:p>
    <w:p w:rsidR="00E10B76" w:rsidRDefault="00E10B76">
      <w:pPr>
        <w:pStyle w:val="ConsPlusNormal"/>
        <w:spacing w:before="220"/>
        <w:ind w:firstLine="540"/>
        <w:jc w:val="both"/>
      </w:pPr>
      <w:r>
        <w:t xml:space="preserve">&lt;2.1&gt; </w:t>
      </w:r>
      <w:hyperlink r:id="rId20">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(Собрание законодательства Российской Федерации, 2022, N 6, ст. 872; Официальный интернет-портал правовой информации (</w:t>
      </w:r>
      <w:hyperlink r:id="rId21">
        <w:r>
          <w:rPr>
            <w:color w:val="0000FF"/>
          </w:rPr>
          <w:t>www.pravo.gov.ru</w:t>
        </w:r>
      </w:hyperlink>
      <w:r>
        <w:t>), 2022, 8 ноября, N 0001202211080038).</w:t>
      </w:r>
    </w:p>
    <w:p w:rsidR="00E10B76" w:rsidRDefault="00E10B76">
      <w:pPr>
        <w:pStyle w:val="ConsPlusNormal"/>
        <w:jc w:val="both"/>
      </w:pPr>
      <w:r>
        <w:t xml:space="preserve">(сноска введена </w:t>
      </w:r>
      <w:hyperlink r:id="rId22">
        <w:r>
          <w:rPr>
            <w:color w:val="0000FF"/>
          </w:rPr>
          <w:t>Приказом</w:t>
        </w:r>
      </w:hyperlink>
      <w:r>
        <w:t xml:space="preserve"> Минфина России от 19.09.2022 N 140н)</w:t>
      </w:r>
    </w:p>
    <w:p w:rsidR="00E10B76" w:rsidRDefault="00E10B76">
      <w:pPr>
        <w:pStyle w:val="ConsPlusNormal"/>
        <w:spacing w:before="220"/>
        <w:ind w:firstLine="540"/>
        <w:jc w:val="both"/>
      </w:pPr>
      <w:r>
        <w:t xml:space="preserve">&lt;2.2&gt; </w:t>
      </w:r>
      <w:hyperlink r:id="rId23">
        <w:r>
          <w:rPr>
            <w:color w:val="0000FF"/>
          </w:rPr>
          <w:t>Часть 13.1 статьи 34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2022, N 16, ст. 2606; N 27, ст. 4632).</w:t>
      </w:r>
    </w:p>
    <w:p w:rsidR="00E10B76" w:rsidRDefault="00E10B76">
      <w:pPr>
        <w:pStyle w:val="ConsPlusNormal"/>
        <w:jc w:val="both"/>
      </w:pPr>
      <w:r>
        <w:t xml:space="preserve">(сноска введена </w:t>
      </w:r>
      <w:hyperlink r:id="rId24">
        <w:r>
          <w:rPr>
            <w:color w:val="0000FF"/>
          </w:rPr>
          <w:t>Приказом</w:t>
        </w:r>
      </w:hyperlink>
      <w:r>
        <w:t xml:space="preserve"> Минфина России от 19.09.2022 N 140н)</w:t>
      </w:r>
    </w:p>
    <w:p w:rsidR="00E10B76" w:rsidRDefault="00E10B76">
      <w:pPr>
        <w:pStyle w:val="ConsPlusNormal"/>
        <w:jc w:val="both"/>
      </w:pPr>
    </w:p>
    <w:p w:rsidR="00E10B76" w:rsidRDefault="00E10B76">
      <w:pPr>
        <w:pStyle w:val="ConsPlusNormal"/>
        <w:ind w:firstLine="540"/>
        <w:jc w:val="both"/>
      </w:pPr>
      <w:bookmarkStart w:id="3" w:name="P66"/>
      <w:bookmarkEnd w:id="3"/>
      <w:r>
        <w:t>2) уникального кода получателя средств федерального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&lt;3&gt; (далее - код участника бюджетного процесса по Сводному реестру), и номера соответствующего лицевого счета;</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&lt;3&gt; </w:t>
      </w:r>
      <w:hyperlink r:id="rId25">
        <w:r>
          <w:rPr>
            <w:color w:val="0000FF"/>
          </w:rPr>
          <w:t>Абзац двадцатый статьи 165</w:t>
        </w:r>
      </w:hyperlink>
      <w:r>
        <w:t xml:space="preserve"> Бюджетного кодекса Российской Федерации (Собрание законодательства Российской Федерации, 1998, N 31, ст. 3823; 2013, N 52, ст. 6983).</w:t>
      </w:r>
    </w:p>
    <w:p w:rsidR="00E10B76" w:rsidRDefault="00E10B76">
      <w:pPr>
        <w:pStyle w:val="ConsPlusNormal"/>
        <w:jc w:val="both"/>
      </w:pPr>
    </w:p>
    <w:p w:rsidR="00E10B76" w:rsidRDefault="00E10B76">
      <w:pPr>
        <w:pStyle w:val="ConsPlusNormal"/>
        <w:ind w:firstLine="540"/>
        <w:jc w:val="both"/>
      </w:pPr>
      <w:proofErr w:type="gramStart"/>
      <w:r>
        <w:t>3) кодов классификации расходов федерального бюджета (классификации источников финансирования дефицитов федерального бюджета), по которым необходимо произвести перечисление, уникального кода объекта капитального строительства или объекта недвижимости, отраженного на лицевом счете получателя средств федерального бюджета, кода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w:t>
      </w:r>
      <w:proofErr w:type="gramEnd"/>
      <w:r>
        <w:t xml:space="preserve"> </w:t>
      </w:r>
      <w:proofErr w:type="gramStart"/>
      <w:r>
        <w:t>компонентов информационно-телекоммуникационной инфраструктуры (далее - мероприятие по информатизации), доведенных до органа Федерального казначейства в соответствии с порядком составления и ведения сводной бюджетной росписи федерального бюджета &lt;4&gt; (далее - Порядок составления и ведения сводной бюджетной росписи федерального бюджета), в случае оплаты денежных обязательств, связанных с осуществлением капитальных вложений в объекты капитального строительства или объекты недвижимого имущества, или с реализацией мероприятий по информатизации, а</w:t>
      </w:r>
      <w:proofErr w:type="gramEnd"/>
      <w:r>
        <w:t xml:space="preserve"> также текстового назначения платежа;</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&lt;4&gt; </w:t>
      </w:r>
      <w:hyperlink r:id="rId26">
        <w:r>
          <w:rPr>
            <w:color w:val="0000FF"/>
          </w:rPr>
          <w:t>Абзац восемнадцатый статьи 165</w:t>
        </w:r>
      </w:hyperlink>
      <w:r>
        <w:t xml:space="preserve"> Бюджетного кодекса Российской Федерации (Собрание законодательства Российской Федерации, 1998, N 31, ст. 3823; 2017, N 47, ст. 6841).</w:t>
      </w:r>
    </w:p>
    <w:p w:rsidR="00E10B76" w:rsidRDefault="00E10B76">
      <w:pPr>
        <w:pStyle w:val="ConsPlusNormal"/>
        <w:jc w:val="both"/>
      </w:pPr>
    </w:p>
    <w:p w:rsidR="00E10B76" w:rsidRDefault="00E10B76">
      <w:pPr>
        <w:pStyle w:val="ConsPlusNormal"/>
        <w:ind w:firstLine="540"/>
        <w:jc w:val="both"/>
      </w:pPr>
      <w:proofErr w:type="gramStart"/>
      <w:r>
        <w:t xml:space="preserve">4) суммы перечисления и кода валюты в соответствии с Общероссийским </w:t>
      </w:r>
      <w:hyperlink r:id="rId27">
        <w:r>
          <w:rPr>
            <w:color w:val="0000FF"/>
          </w:rPr>
          <w:t>классификатором</w:t>
        </w:r>
      </w:hyperlink>
      <w:r>
        <w:t xml:space="preserve"> валют, в которой он должен быть произведен;</w:t>
      </w:r>
      <w:proofErr w:type="gramEnd"/>
    </w:p>
    <w:p w:rsidR="00E10B76" w:rsidRDefault="00E10B76">
      <w:pPr>
        <w:pStyle w:val="ConsPlusNormal"/>
        <w:spacing w:before="220"/>
        <w:ind w:firstLine="540"/>
        <w:jc w:val="both"/>
      </w:pPr>
      <w:r>
        <w:t>5) суммы перечисления в валюте Российской Федерации, в рублевом эквиваленте, исчисленном на дату оформления Распоряжения;</w:t>
      </w:r>
    </w:p>
    <w:p w:rsidR="00E10B76" w:rsidRDefault="00E10B76">
      <w:pPr>
        <w:pStyle w:val="ConsPlusNormal"/>
        <w:spacing w:before="220"/>
        <w:ind w:firstLine="540"/>
        <w:jc w:val="both"/>
      </w:pPr>
      <w:r>
        <w:t>6) вида средств (средства федерального бюджета, средства для финансирования оперативно-розыскных мероприятий);</w:t>
      </w:r>
    </w:p>
    <w:p w:rsidR="00E10B76" w:rsidRDefault="00E10B76">
      <w:pPr>
        <w:pStyle w:val="ConsPlusNormal"/>
        <w:spacing w:before="220"/>
        <w:ind w:firstLine="540"/>
        <w:jc w:val="both"/>
      </w:pPr>
      <w:r>
        <w:lastRenderedPageBreak/>
        <w:t>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w:t>
      </w:r>
      <w:proofErr w:type="gramStart"/>
      <w:r>
        <w:t>дств в Р</w:t>
      </w:r>
      <w:proofErr w:type="gramEnd"/>
      <w:r>
        <w:t>аспоряжении;</w:t>
      </w:r>
    </w:p>
    <w:p w:rsidR="00E10B76" w:rsidRDefault="00E10B76">
      <w:pPr>
        <w:pStyle w:val="ConsPlusNormal"/>
        <w:spacing w:before="220"/>
        <w:ind w:firstLine="540"/>
        <w:jc w:val="both"/>
      </w:pPr>
      <w:bookmarkStart w:id="4" w:name="P78"/>
      <w:bookmarkEnd w:id="4"/>
      <w:r>
        <w:t>8) номера учтенного в органе Федерального казначейства бюджетного обязательства и номера денежного обязательства получателя средств федерального бюджета (при наличии);</w:t>
      </w:r>
    </w:p>
    <w:p w:rsidR="00E10B76" w:rsidRDefault="00E10B76">
      <w:pPr>
        <w:pStyle w:val="ConsPlusNormal"/>
        <w:spacing w:before="220"/>
        <w:ind w:firstLine="540"/>
        <w:jc w:val="both"/>
      </w:pPr>
      <w:r>
        <w:t>9) номера и серии чека;</w:t>
      </w:r>
    </w:p>
    <w:p w:rsidR="00E10B76" w:rsidRDefault="00E10B76">
      <w:pPr>
        <w:pStyle w:val="ConsPlusNormal"/>
        <w:spacing w:before="220"/>
        <w:ind w:firstLine="540"/>
        <w:jc w:val="both"/>
      </w:pPr>
      <w:r>
        <w:t>10) срока действия чека;</w:t>
      </w:r>
    </w:p>
    <w:p w:rsidR="00E10B76" w:rsidRDefault="00E10B76">
      <w:pPr>
        <w:pStyle w:val="ConsPlusNormal"/>
        <w:spacing w:before="220"/>
        <w:ind w:firstLine="540"/>
        <w:jc w:val="both"/>
      </w:pPr>
      <w:r>
        <w:t>11) фамилии, имени и отчества получателя средств по чеку;</w:t>
      </w:r>
    </w:p>
    <w:p w:rsidR="00E10B76" w:rsidRDefault="00E10B76">
      <w:pPr>
        <w:pStyle w:val="ConsPlusNormal"/>
        <w:spacing w:before="220"/>
        <w:ind w:firstLine="540"/>
        <w:jc w:val="both"/>
      </w:pPr>
      <w:r>
        <w:t>12) данных документов, удостоверяющих личность получателя средств по чеку;</w:t>
      </w:r>
    </w:p>
    <w:p w:rsidR="00E10B76" w:rsidRDefault="00E10B76">
      <w:pPr>
        <w:pStyle w:val="ConsPlusNormal"/>
        <w:spacing w:before="220"/>
        <w:ind w:firstLine="540"/>
        <w:jc w:val="both"/>
      </w:pPr>
      <w:bookmarkStart w:id="5" w:name="P83"/>
      <w:bookmarkEnd w:id="5"/>
      <w:r>
        <w:t>13)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&lt;5&gt;;</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&lt;5&gt; </w:t>
      </w:r>
      <w:hyperlink r:id="rId28">
        <w:r>
          <w:rPr>
            <w:color w:val="0000FF"/>
          </w:rPr>
          <w:t>Пункт 7 статьи 45</w:t>
        </w:r>
      </w:hyperlink>
      <w:r>
        <w:t xml:space="preserve"> Налогового кодекса Российской Федерации (Собрание законодательства Российской Федерации, 1998, N 31, ст. 3824; 2020, N 14, ст. 2032).</w:t>
      </w:r>
    </w:p>
    <w:p w:rsidR="00E10B76" w:rsidRDefault="00E10B76">
      <w:pPr>
        <w:pStyle w:val="ConsPlusNormal"/>
        <w:jc w:val="both"/>
      </w:pPr>
    </w:p>
    <w:p w:rsidR="00E10B76" w:rsidRDefault="00E10B76">
      <w:pPr>
        <w:pStyle w:val="ConsPlusNormal"/>
        <w:ind w:firstLine="540"/>
        <w:jc w:val="both"/>
      </w:pPr>
      <w:bookmarkStart w:id="6" w:name="P87"/>
      <w:bookmarkEnd w:id="6"/>
      <w:proofErr w:type="gramStart"/>
      <w:r>
        <w:t>14) реквизитов (номер, дата) документов (договора (государственного контракта) на поставку товаров, выполнение работ, оказание услуг (далее - договор (государственный контракт), соглашения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 договора (соглашения) о предоставлении субсидии федеральному бюджетному или автономному учреждению, договора (соглашения) о предоставлении субсидии из федерального бюджета юридическому лицу, индивидуальному предпринимателю</w:t>
      </w:r>
      <w:proofErr w:type="gramEnd"/>
      <w:r>
        <w:t xml:space="preserve"> или физическому лицу - производителю товаров, работ, услуг (далее - соглашение), договоров о предоставлении бюджетных инвестиций в соответствии со </w:t>
      </w:r>
      <w:hyperlink r:id="rId29">
        <w:r>
          <w:rPr>
            <w:color w:val="0000FF"/>
          </w:rPr>
          <w:t>статьей 80</w:t>
        </w:r>
      </w:hyperlink>
      <w:r>
        <w:t xml:space="preserve"> Бюджетного кодекса Российской Федерации (Собрание законодательства Российской Федерации, 1998, N 31, ст. 3823; </w:t>
      </w:r>
      <w:proofErr w:type="gramStart"/>
      <w:r>
        <w:t>2021, N 49, ст. 8148) (далее - договор о предоставлении инвестиций) (при наличии),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 предоставляемых получателями средств федерального бюджета при постановке на учет бюджетных и денежных обязательств в соответствии с порядком учета территориальными органами Федерального казначейства бюджетных и денежных обязательств получателей средств</w:t>
      </w:r>
      <w:proofErr w:type="gramEnd"/>
      <w:r>
        <w:t xml:space="preserve"> федерального бюджета, установленным Министерством финансов Российской Федерации &lt;6&gt; (далее - порядок учета обязательств);</w:t>
      </w:r>
    </w:p>
    <w:p w:rsidR="00E10B76" w:rsidRDefault="00E10B76">
      <w:pPr>
        <w:pStyle w:val="ConsPlusNormal"/>
        <w:jc w:val="both"/>
      </w:pPr>
      <w:r>
        <w:t xml:space="preserve">(в ред. </w:t>
      </w:r>
      <w:hyperlink r:id="rId30">
        <w:r>
          <w:rPr>
            <w:color w:val="0000FF"/>
          </w:rPr>
          <w:t>Приказа</w:t>
        </w:r>
      </w:hyperlink>
      <w:r>
        <w:t xml:space="preserve"> Минфина России от 19.09.2022 N 140н)</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&lt;6&gt; </w:t>
      </w:r>
      <w:hyperlink r:id="rId31">
        <w:r>
          <w:rPr>
            <w:color w:val="0000FF"/>
          </w:rPr>
          <w:t>Пункт 2 статьи 219</w:t>
        </w:r>
      </w:hyperlink>
      <w:r>
        <w:t xml:space="preserve"> Бюджетного кодекса Российской Федерации (Собрание законодательства Российской Федерации, 1998, N 31, ст. 3823; 2016, N 1, ст. 26).</w:t>
      </w:r>
    </w:p>
    <w:p w:rsidR="00E10B76" w:rsidRDefault="00E10B76">
      <w:pPr>
        <w:pStyle w:val="ConsPlusNormal"/>
        <w:jc w:val="both"/>
      </w:pPr>
    </w:p>
    <w:p w:rsidR="00E10B76" w:rsidRDefault="00E10B76">
      <w:pPr>
        <w:pStyle w:val="ConsPlusNormal"/>
        <w:ind w:firstLine="540"/>
        <w:jc w:val="both"/>
      </w:pPr>
      <w:proofErr w:type="gramStart"/>
      <w:r>
        <w:t xml:space="preserve">15) 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hyperlink r:id="rId32">
        <w:r>
          <w:rPr>
            <w:color w:val="0000FF"/>
          </w:rPr>
          <w:t>графой 3</w:t>
        </w:r>
      </w:hyperlink>
      <w:r>
        <w:t xml:space="preserve"> Перечня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 являющегося приложением N 3 к Порядку учета бюджетных и денежных обязательств получателей средств федерального бюджета территориальными органами Федерального</w:t>
      </w:r>
      <w:proofErr w:type="gramEnd"/>
      <w:r>
        <w:t xml:space="preserve"> </w:t>
      </w:r>
      <w:proofErr w:type="gramStart"/>
      <w:r>
        <w:t>казначейства, утвержденному приказом Министерства финансов Российской Федерации от 30 октября 2020 г. N 258н (зарегистрирован Министерством юстиции Российской Федерации 9 декабря 2020 г., регистрационный N 61362), с изменениями, внесенными приказами Министерства финансов от 30 ноября 2021 г. N 197н (зарегистрирован Министерством юстиции Российской Федерации 14 января 2022 г., регистрационный N 66876), от 29 апреля 2022 г. N 66н (зарегистрирован Министерством</w:t>
      </w:r>
      <w:proofErr w:type="gramEnd"/>
      <w:r>
        <w:t xml:space="preserve"> </w:t>
      </w:r>
      <w:proofErr w:type="gramStart"/>
      <w:r>
        <w:t xml:space="preserve">юстиции Российской Федерации 20 мая 2022 г., регистрационный N 68539) (далее соответственно - документы, подтверждающие возникновение </w:t>
      </w:r>
      <w:r>
        <w:lastRenderedPageBreak/>
        <w:t>денежных обязательств, Перечень),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(государственного контракта), внесения арендной платы по договору (государственному контракту), если условиями таких договоров (государственных контрактов) не предусмотрено предоставление документов для оплаты денежных обязательств при</w:t>
      </w:r>
      <w:proofErr w:type="gramEnd"/>
      <w:r>
        <w:t xml:space="preserve"> </w:t>
      </w:r>
      <w:proofErr w:type="gramStart"/>
      <w:r>
        <w:t>осуществлении</w:t>
      </w:r>
      <w:proofErr w:type="gramEnd"/>
      <w:r>
        <w:t xml:space="preserve"> авансовых платежей (внесении арендной платы);</w:t>
      </w:r>
    </w:p>
    <w:p w:rsidR="00E10B76" w:rsidRDefault="00E10B76">
      <w:pPr>
        <w:pStyle w:val="ConsPlusNormal"/>
        <w:jc w:val="both"/>
      </w:pPr>
      <w:r>
        <w:t>(</w:t>
      </w:r>
      <w:proofErr w:type="spellStart"/>
      <w:r>
        <w:t>пп</w:t>
      </w:r>
      <w:proofErr w:type="spellEnd"/>
      <w:r>
        <w:t xml:space="preserve">. 15 в ред. </w:t>
      </w:r>
      <w:hyperlink r:id="rId33">
        <w:r>
          <w:rPr>
            <w:color w:val="0000FF"/>
          </w:rPr>
          <w:t>Приказа</w:t>
        </w:r>
      </w:hyperlink>
      <w:r>
        <w:t xml:space="preserve"> Минфина России от 19.09.2022 N 140н)</w:t>
      </w:r>
    </w:p>
    <w:p w:rsidR="00E10B76" w:rsidRDefault="00E10B76">
      <w:pPr>
        <w:pStyle w:val="ConsPlusNormal"/>
        <w:spacing w:before="220"/>
        <w:ind w:firstLine="540"/>
        <w:jc w:val="both"/>
      </w:pPr>
      <w:bookmarkStart w:id="7" w:name="P94"/>
      <w:bookmarkEnd w:id="7"/>
      <w:r>
        <w:t>16) кода источника поступлений целевых сре</w:t>
      </w:r>
      <w:proofErr w:type="gramStart"/>
      <w:r>
        <w:t>дств в сл</w:t>
      </w:r>
      <w:proofErr w:type="gramEnd"/>
      <w:r>
        <w:t>учае санкционирования расходов, источником финансового обеспечения которых являются целевые средства при казначейском сопровождении;</w:t>
      </w:r>
    </w:p>
    <w:p w:rsidR="00E10B76" w:rsidRDefault="00E10B76">
      <w:pPr>
        <w:pStyle w:val="ConsPlusNormal"/>
        <w:spacing w:before="220"/>
        <w:ind w:firstLine="540"/>
        <w:jc w:val="both"/>
      </w:pPr>
      <w:r>
        <w:t>17) идентификатора договора (государственного контракта), соглашения, договора о предоставлении инвестиций, в случае санкционирования расходов, возникающих при оплате указанных договоров (государственных контрактов), соглашений, договоров о предоставлении инвестиций при казначейском сопровождении средств &lt;6.1&gt;;</w:t>
      </w:r>
    </w:p>
    <w:p w:rsidR="00E10B76" w:rsidRDefault="00E10B76">
      <w:pPr>
        <w:pStyle w:val="ConsPlusNormal"/>
        <w:jc w:val="both"/>
      </w:pPr>
      <w:r>
        <w:t>(</w:t>
      </w:r>
      <w:proofErr w:type="spellStart"/>
      <w:r>
        <w:t>пп</w:t>
      </w:r>
      <w:proofErr w:type="spellEnd"/>
      <w:r>
        <w:t xml:space="preserve">. 17 </w:t>
      </w:r>
      <w:proofErr w:type="gramStart"/>
      <w:r>
        <w:t>введен</w:t>
      </w:r>
      <w:proofErr w:type="gramEnd"/>
      <w:r>
        <w:t xml:space="preserve"> </w:t>
      </w:r>
      <w:hyperlink r:id="rId34">
        <w:r>
          <w:rPr>
            <w:color w:val="0000FF"/>
          </w:rPr>
          <w:t>Приказом</w:t>
        </w:r>
      </w:hyperlink>
      <w:r>
        <w:t xml:space="preserve"> Минфина России от 19.09.2022 N 140н)</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&lt;6.1&gt; </w:t>
      </w:r>
      <w:hyperlink r:id="rId35">
        <w:r>
          <w:rPr>
            <w:color w:val="0000FF"/>
          </w:rPr>
          <w:t>Подпункт 3 пункта 2 статьи 242.23</w:t>
        </w:r>
      </w:hyperlink>
      <w:r>
        <w:t xml:space="preserve"> Бюджетного кодекса Российской Федерации (Собрание законодательства Российской Федерации, 1998, N 31, ст. 3823; 2021, N 27, ст. 5072).</w:t>
      </w:r>
    </w:p>
    <w:p w:rsidR="00E10B76" w:rsidRDefault="00E10B76">
      <w:pPr>
        <w:pStyle w:val="ConsPlusNormal"/>
        <w:jc w:val="both"/>
      </w:pPr>
      <w:r>
        <w:t xml:space="preserve">(сноска введена </w:t>
      </w:r>
      <w:hyperlink r:id="rId36">
        <w:r>
          <w:rPr>
            <w:color w:val="0000FF"/>
          </w:rPr>
          <w:t>Приказом</w:t>
        </w:r>
      </w:hyperlink>
      <w:r>
        <w:t xml:space="preserve"> Минфина России от 19.09.2022 N 140н)</w:t>
      </w:r>
    </w:p>
    <w:p w:rsidR="00E10B76" w:rsidRDefault="00E10B76">
      <w:pPr>
        <w:pStyle w:val="ConsPlusNormal"/>
        <w:ind w:firstLine="540"/>
        <w:jc w:val="both"/>
      </w:pPr>
    </w:p>
    <w:p w:rsidR="00E10B76" w:rsidRDefault="00E10B76">
      <w:pPr>
        <w:pStyle w:val="ConsPlusNormal"/>
        <w:ind w:firstLine="540"/>
        <w:jc w:val="both"/>
      </w:pPr>
      <w:bookmarkStart w:id="8" w:name="P101"/>
      <w:bookmarkEnd w:id="8"/>
      <w:r>
        <w:t xml:space="preserve">18) уникального номера реестровой записи, идентификатора информации о </w:t>
      </w:r>
      <w:proofErr w:type="gramStart"/>
      <w:r>
        <w:t>документе</w:t>
      </w:r>
      <w:proofErr w:type="gramEnd"/>
      <w:r>
        <w:t xml:space="preserve">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санкционирования расходов, возникающих при оплате договоров (государственных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 &lt;6.2&gt;.</w:t>
      </w:r>
    </w:p>
    <w:p w:rsidR="00E10B76" w:rsidRDefault="00E10B76">
      <w:pPr>
        <w:pStyle w:val="ConsPlusNormal"/>
        <w:jc w:val="both"/>
      </w:pPr>
      <w:r>
        <w:t>(</w:t>
      </w:r>
      <w:proofErr w:type="spellStart"/>
      <w:r>
        <w:t>пп</w:t>
      </w:r>
      <w:proofErr w:type="spellEnd"/>
      <w:r>
        <w:t xml:space="preserve">. 18 </w:t>
      </w:r>
      <w:proofErr w:type="gramStart"/>
      <w:r>
        <w:t>введен</w:t>
      </w:r>
      <w:proofErr w:type="gramEnd"/>
      <w:r>
        <w:t xml:space="preserve"> </w:t>
      </w:r>
      <w:hyperlink r:id="rId37">
        <w:r>
          <w:rPr>
            <w:color w:val="0000FF"/>
          </w:rPr>
          <w:t>Приказом</w:t>
        </w:r>
      </w:hyperlink>
      <w:r>
        <w:t xml:space="preserve"> Минфина России от 19.09.2022 N 140н)</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&lt;6.2&gt; </w:t>
      </w:r>
      <w:hyperlink r:id="rId38">
        <w:r>
          <w:rPr>
            <w:color w:val="0000FF"/>
          </w:rPr>
          <w:t>Пункт 21</w:t>
        </w:r>
      </w:hyperlink>
      <w:r>
        <w:t xml:space="preserve"> Правил ведения реестра контрактов, заключенных заказчиками, утвержденных постановлением Правительства Российской Федерации от 27 января 2022 г. N 60 (Собрание законодательства Российской Федерации, 2022, N 6, ст. 872; Официальный интернет-портал правовой информации (</w:t>
      </w:r>
      <w:hyperlink r:id="rId39">
        <w:r>
          <w:rPr>
            <w:color w:val="0000FF"/>
          </w:rPr>
          <w:t>www.pravo.gov.ru</w:t>
        </w:r>
      </w:hyperlink>
      <w:r>
        <w:t>), 2022, 8 ноября, N 0001202211080038) (далее - Правила ведения реестра контрактов).</w:t>
      </w:r>
    </w:p>
    <w:p w:rsidR="00E10B76" w:rsidRDefault="00E10B76">
      <w:pPr>
        <w:pStyle w:val="ConsPlusNormal"/>
        <w:jc w:val="both"/>
      </w:pPr>
      <w:r>
        <w:t xml:space="preserve">(сноска введена </w:t>
      </w:r>
      <w:hyperlink r:id="rId40">
        <w:r>
          <w:rPr>
            <w:color w:val="0000FF"/>
          </w:rPr>
          <w:t>Приказом</w:t>
        </w:r>
      </w:hyperlink>
      <w:r>
        <w:t xml:space="preserve"> Минфина России от 19.09.2022 N 140н)</w:t>
      </w:r>
    </w:p>
    <w:p w:rsidR="00E10B76" w:rsidRDefault="00E10B76">
      <w:pPr>
        <w:pStyle w:val="ConsPlusNormal"/>
        <w:ind w:firstLine="540"/>
        <w:jc w:val="both"/>
      </w:pPr>
    </w:p>
    <w:p w:rsidR="00E10B76" w:rsidRDefault="00E10B76">
      <w:pPr>
        <w:pStyle w:val="ConsPlusNormal"/>
        <w:ind w:firstLine="540"/>
        <w:jc w:val="both"/>
      </w:pPr>
      <w:bookmarkStart w:id="9" w:name="P107"/>
      <w:bookmarkEnd w:id="9"/>
      <w:r>
        <w:t xml:space="preserve">5. Требования </w:t>
      </w:r>
      <w:hyperlink w:anchor="P87">
        <w:r>
          <w:rPr>
            <w:color w:val="0000FF"/>
          </w:rPr>
          <w:t>подпунктов 14</w:t>
        </w:r>
      </w:hyperlink>
      <w:r>
        <w:t xml:space="preserve"> - </w:t>
      </w:r>
      <w:hyperlink w:anchor="P94">
        <w:r>
          <w:rPr>
            <w:color w:val="0000FF"/>
          </w:rPr>
          <w:t>16 пункта 4</w:t>
        </w:r>
      </w:hyperlink>
      <w:r>
        <w:t xml:space="preserve"> настоящего Порядка не применяются в отношении:</w:t>
      </w:r>
    </w:p>
    <w:p w:rsidR="00E10B76" w:rsidRDefault="00E10B76">
      <w:pPr>
        <w:pStyle w:val="ConsPlusNormal"/>
        <w:spacing w:before="220"/>
        <w:ind w:firstLine="540"/>
        <w:jc w:val="both"/>
      </w:pPr>
      <w:proofErr w:type="gramStart"/>
      <w:r>
        <w:t>Распоряжения при перечислении средств получателям средств федерального бюджета, осуществляющим в соответствии с бюджетным законодательством Российской Федерации операции со средствами федерального бюджета (в том числе в иностранной валюте) на счетах, открытых им в учреждении Центрального банка Российской Федерации или кредитной организации, получателям средств федерального бюджета, находящимся за пределами Российской Федерации и получающим средства федерального бюджета от главного распорядителя (распорядителя) средств федерального</w:t>
      </w:r>
      <w:proofErr w:type="gramEnd"/>
      <w:r>
        <w:t xml:space="preserve"> бюджета в иностранной валюте;</w:t>
      </w:r>
    </w:p>
    <w:p w:rsidR="00E10B76" w:rsidRDefault="00E10B76">
      <w:pPr>
        <w:pStyle w:val="ConsPlusNormal"/>
        <w:spacing w:before="220"/>
        <w:ind w:firstLine="540"/>
        <w:jc w:val="both"/>
      </w:pPr>
      <w:r>
        <w:t>Распоряжения при перечислении сре</w:t>
      </w:r>
      <w:proofErr w:type="gramStart"/>
      <w:r>
        <w:t>дств стр</w:t>
      </w:r>
      <w:proofErr w:type="gramEnd"/>
      <w:r>
        <w:t>уктурным (обособленным) подразделениям получателей средств федерального бюджета, не наделенным полномочиями по ведению бюджетного учета.</w:t>
      </w:r>
    </w:p>
    <w:p w:rsidR="00E10B76" w:rsidRDefault="00E10B76">
      <w:pPr>
        <w:pStyle w:val="ConsPlusNormal"/>
        <w:spacing w:before="220"/>
        <w:ind w:firstLine="540"/>
        <w:jc w:val="both"/>
      </w:pPr>
      <w:r>
        <w:t xml:space="preserve">Требования </w:t>
      </w:r>
      <w:hyperlink w:anchor="P87">
        <w:r>
          <w:rPr>
            <w:color w:val="0000FF"/>
          </w:rPr>
          <w:t>подпункта 14 пункта 4</w:t>
        </w:r>
      </w:hyperlink>
      <w:r>
        <w:t xml:space="preserve"> настоящего Порядка также не применяются в отношении Распоряжения при оплате товаров, выполнении работ, оказании услуг в случаях, когда заключение договора (государственного контракта) законодательством Российской Федерации не предусмотрено.</w:t>
      </w:r>
    </w:p>
    <w:p w:rsidR="00E10B76" w:rsidRDefault="00E10B76">
      <w:pPr>
        <w:pStyle w:val="ConsPlusNormal"/>
        <w:jc w:val="both"/>
      </w:pPr>
      <w:r>
        <w:t xml:space="preserve">(в ред. </w:t>
      </w:r>
      <w:hyperlink r:id="rId41">
        <w:r>
          <w:rPr>
            <w:color w:val="0000FF"/>
          </w:rPr>
          <w:t>Приказа</w:t>
        </w:r>
      </w:hyperlink>
      <w:r>
        <w:t xml:space="preserve"> Минфина России от 19.09.2022 N 140н)</w:t>
      </w:r>
    </w:p>
    <w:p w:rsidR="00E10B76" w:rsidRDefault="00E10B76">
      <w:pPr>
        <w:pStyle w:val="ConsPlusNormal"/>
        <w:spacing w:before="220"/>
        <w:ind w:firstLine="540"/>
        <w:jc w:val="both"/>
      </w:pPr>
      <w:r>
        <w:t xml:space="preserve">В одном Распоряжении может содержаться несколько сумм перечислений по разным кодам </w:t>
      </w:r>
      <w:r>
        <w:lastRenderedPageBreak/>
        <w:t>классификации расходов федерального бюджета (классификации источников финансирования дефицитов федерального бюджета) в рамках одного денежного обязательства получателя средств федерального бюджета (администратора источников финансирования дефицита федерального бюджета).</w:t>
      </w:r>
    </w:p>
    <w:p w:rsidR="00E10B76" w:rsidRDefault="00E10B76">
      <w:pPr>
        <w:pStyle w:val="ConsPlusNormal"/>
        <w:spacing w:before="220"/>
        <w:ind w:firstLine="540"/>
        <w:jc w:val="both"/>
      </w:pPr>
      <w:bookmarkStart w:id="10" w:name="P113"/>
      <w:bookmarkEnd w:id="10"/>
      <w:r>
        <w:t>6.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E10B76" w:rsidRDefault="00E10B76">
      <w:pPr>
        <w:pStyle w:val="ConsPlusNormal"/>
        <w:spacing w:before="220"/>
        <w:ind w:firstLine="540"/>
        <w:jc w:val="both"/>
      </w:pPr>
      <w:bookmarkStart w:id="11" w:name="P114"/>
      <w:bookmarkEnd w:id="11"/>
      <w:r>
        <w:t>1) соответствие указанных в Распоряжении кодов классификации расходов федерального бюджета кодам бюджетной классификации Российской Федерации, действующим в текущем финансовом году на момент представления Распоряжения;</w:t>
      </w:r>
    </w:p>
    <w:p w:rsidR="00E10B76" w:rsidRDefault="00E10B76">
      <w:pPr>
        <w:pStyle w:val="ConsPlusNormal"/>
        <w:spacing w:before="220"/>
        <w:ind w:firstLine="540"/>
        <w:jc w:val="both"/>
      </w:pPr>
      <w:r>
        <w:t>2) 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E10B76" w:rsidRDefault="00E10B76">
      <w:pPr>
        <w:pStyle w:val="ConsPlusNormal"/>
        <w:jc w:val="both"/>
      </w:pPr>
      <w:r>
        <w:t>(</w:t>
      </w:r>
      <w:proofErr w:type="spellStart"/>
      <w:r>
        <w:t>пп</w:t>
      </w:r>
      <w:proofErr w:type="spellEnd"/>
      <w:r>
        <w:t xml:space="preserve">. 2 в ред. </w:t>
      </w:r>
      <w:hyperlink r:id="rId42">
        <w:r>
          <w:rPr>
            <w:color w:val="0000FF"/>
          </w:rPr>
          <w:t>Приказа</w:t>
        </w:r>
      </w:hyperlink>
      <w:r>
        <w:t xml:space="preserve"> Минфина России от 19.09.2022 N 140н)</w:t>
      </w:r>
    </w:p>
    <w:p w:rsidR="00E10B76" w:rsidRDefault="00E10B76">
      <w:pPr>
        <w:pStyle w:val="ConsPlusNormal"/>
        <w:spacing w:before="220"/>
        <w:ind w:firstLine="540"/>
        <w:jc w:val="both"/>
      </w:pPr>
      <w:bookmarkStart w:id="12" w:name="P117"/>
      <w:bookmarkEnd w:id="12"/>
      <w:r>
        <w:t xml:space="preserve">3) соответствие указанных в Распоряжении </w:t>
      </w:r>
      <w:proofErr w:type="gramStart"/>
      <w:r>
        <w:t>кодов видов расходов классификации расходов федерального бюджета</w:t>
      </w:r>
      <w:proofErr w:type="gramEnd"/>
      <w:r>
        <w:t xml:space="preserve">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 Федерации &lt;7&gt; (далее - порядок применения бюджетной классификации);</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&lt;7&gt; </w:t>
      </w:r>
      <w:hyperlink r:id="rId43">
        <w:r>
          <w:rPr>
            <w:color w:val="0000FF"/>
          </w:rPr>
          <w:t>Пункт 2 статьи 18</w:t>
        </w:r>
      </w:hyperlink>
      <w:r>
        <w:t xml:space="preserve"> Бюджетного кодекса Российской Федерации (Собрание законодательства Российской Федерации, 1998, N 31, ст. 3823; 2013, N 19, ст. 2331).</w:t>
      </w:r>
    </w:p>
    <w:p w:rsidR="00E10B76" w:rsidRDefault="00E10B76">
      <w:pPr>
        <w:pStyle w:val="ConsPlusNormal"/>
        <w:jc w:val="both"/>
      </w:pPr>
    </w:p>
    <w:p w:rsidR="00E10B76" w:rsidRDefault="00E10B76">
      <w:pPr>
        <w:pStyle w:val="ConsPlusNormal"/>
        <w:ind w:firstLine="540"/>
        <w:jc w:val="both"/>
      </w:pPr>
      <w:bookmarkStart w:id="13" w:name="P121"/>
      <w:bookmarkEnd w:id="13"/>
      <w:r>
        <w:t xml:space="preserve">4) </w:t>
      </w:r>
      <w:proofErr w:type="spellStart"/>
      <w:r>
        <w:t>непревышение</w:t>
      </w:r>
      <w:proofErr w:type="spellEnd"/>
      <w:r>
        <w:t xml:space="preserve">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в том числе по уникальным кодам объектов капитального строительства или объектов недвижимого имущества (мероприятий по информатизации);</w:t>
      </w:r>
    </w:p>
    <w:p w:rsidR="00E10B76" w:rsidRDefault="00E10B76">
      <w:pPr>
        <w:pStyle w:val="ConsPlusNormal"/>
        <w:spacing w:before="220"/>
        <w:ind w:firstLine="540"/>
        <w:jc w:val="both"/>
      </w:pPr>
      <w:bookmarkStart w:id="14" w:name="P122"/>
      <w:bookmarkEnd w:id="14"/>
      <w:proofErr w:type="gramStart"/>
      <w:r>
        <w:t xml:space="preserve">4.1) </w:t>
      </w:r>
      <w:proofErr w:type="spellStart"/>
      <w:r>
        <w:t>непревышение</w:t>
      </w:r>
      <w:proofErr w:type="spellEnd"/>
      <w:r>
        <w:t xml:space="preserve"> сумм в Распоряжении остатка неиспользованных средств федерального бюджета в иностранной валюте, предусмотренных главному распорядителю средств федерального бюджета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по форме согласно </w:t>
      </w:r>
      <w:hyperlink r:id="rId44">
        <w:r>
          <w:rPr>
            <w:color w:val="0000FF"/>
          </w:rPr>
          <w:t>приложению N 9</w:t>
        </w:r>
      </w:hyperlink>
      <w:r>
        <w:t xml:space="preserve"> к Порядку составления и ведения</w:t>
      </w:r>
      <w:proofErr w:type="gramEnd"/>
      <w:r>
        <w:t xml:space="preserve"> </w:t>
      </w:r>
      <w:proofErr w:type="gramStart"/>
      <w:r>
        <w:t xml:space="preserve">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утвержденному </w:t>
      </w:r>
      <w:hyperlink r:id="rId45">
        <w:r>
          <w:rPr>
            <w:color w:val="0000FF"/>
          </w:rPr>
          <w:t>приказом</w:t>
        </w:r>
      </w:hyperlink>
      <w:r>
        <w:t xml:space="preserve">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(далее - Перечень главных распорядителей средств федерального бюджета</w:t>
      </w:r>
      <w:proofErr w:type="gramEnd"/>
      <w:r>
        <w:t>, получающих иностранную валюту) (в случае осуществления операций в иностранной валюте);</w:t>
      </w:r>
    </w:p>
    <w:p w:rsidR="00E10B76" w:rsidRDefault="00E10B76">
      <w:pPr>
        <w:pStyle w:val="ConsPlusNormal"/>
        <w:jc w:val="both"/>
      </w:pPr>
      <w:r>
        <w:t>(</w:t>
      </w:r>
      <w:proofErr w:type="spellStart"/>
      <w:r>
        <w:t>пп</w:t>
      </w:r>
      <w:proofErr w:type="spellEnd"/>
      <w:r>
        <w:t xml:space="preserve">. 4.1 </w:t>
      </w:r>
      <w:proofErr w:type="gramStart"/>
      <w:r>
        <w:t>введен</w:t>
      </w:r>
      <w:proofErr w:type="gramEnd"/>
      <w:r>
        <w:t xml:space="preserve"> </w:t>
      </w:r>
      <w:hyperlink r:id="rId46">
        <w:r>
          <w:rPr>
            <w:color w:val="0000FF"/>
          </w:rPr>
          <w:t>Приказом</w:t>
        </w:r>
      </w:hyperlink>
      <w:r>
        <w:t xml:space="preserve"> Минфина России от 19.09.2022 N 140н; в ред. </w:t>
      </w:r>
      <w:hyperlink r:id="rId47">
        <w:r>
          <w:rPr>
            <w:color w:val="0000FF"/>
          </w:rPr>
          <w:t>Приказа</w:t>
        </w:r>
      </w:hyperlink>
      <w:r>
        <w:t xml:space="preserve"> Минфина России от 23.08.2024 N 119н)</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&lt;7.1&gt; Сноска исключена. - </w:t>
      </w:r>
      <w:hyperlink r:id="rId48">
        <w:r>
          <w:rPr>
            <w:color w:val="0000FF"/>
          </w:rPr>
          <w:t>Приказ</w:t>
        </w:r>
      </w:hyperlink>
      <w:r>
        <w:t xml:space="preserve"> Минфина России от 23.08.2024 N 119н.</w:t>
      </w:r>
    </w:p>
    <w:p w:rsidR="00E10B76" w:rsidRDefault="00E10B76">
      <w:pPr>
        <w:pStyle w:val="ConsPlusNormal"/>
        <w:ind w:firstLine="540"/>
        <w:jc w:val="both"/>
      </w:pPr>
    </w:p>
    <w:p w:rsidR="00E10B76" w:rsidRDefault="00E10B76">
      <w:pPr>
        <w:pStyle w:val="ConsPlusNormal"/>
        <w:ind w:firstLine="540"/>
        <w:jc w:val="both"/>
      </w:pPr>
      <w:bookmarkStart w:id="15" w:name="P127"/>
      <w:bookmarkEnd w:id="15"/>
      <w: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E10B76" w:rsidRDefault="00E10B76">
      <w:pPr>
        <w:pStyle w:val="ConsPlusNormal"/>
        <w:spacing w:before="220"/>
        <w:ind w:firstLine="540"/>
        <w:jc w:val="both"/>
      </w:pPr>
      <w:r>
        <w:t>6) соответствие реквизитов Распоряжения требованиям бюджетного законодательства Российской Федерации о перечислении средств федерального бюджета на соответствующие казначейские счета;</w:t>
      </w:r>
    </w:p>
    <w:p w:rsidR="00E10B76" w:rsidRDefault="00E10B76">
      <w:pPr>
        <w:pStyle w:val="ConsPlusNormal"/>
        <w:spacing w:before="220"/>
        <w:ind w:firstLine="540"/>
        <w:jc w:val="both"/>
      </w:pPr>
      <w:r>
        <w:t xml:space="preserve">7) идентичность кода участника бюджетного процесса по Сводному реестру по денежному </w:t>
      </w:r>
      <w:r>
        <w:lastRenderedPageBreak/>
        <w:t>обязательству и платежу;</w:t>
      </w:r>
    </w:p>
    <w:p w:rsidR="00E10B76" w:rsidRDefault="00E10B76">
      <w:pPr>
        <w:pStyle w:val="ConsPlusNormal"/>
        <w:spacing w:before="220"/>
        <w:ind w:firstLine="540"/>
        <w:jc w:val="both"/>
      </w:pPr>
      <w:r>
        <w:t>8) идентичность кода (кодов) классификации расходов федерального бюджета по денежному обязательству и платежу;</w:t>
      </w:r>
    </w:p>
    <w:p w:rsidR="00E10B76" w:rsidRDefault="00E10B76">
      <w:pPr>
        <w:pStyle w:val="ConsPlusNormal"/>
        <w:spacing w:before="220"/>
        <w:ind w:firstLine="540"/>
        <w:jc w:val="both"/>
      </w:pPr>
      <w:r>
        <w:t>9) идентичность кода валюты, в которой принято денежное обязательство, и кода валюты, в которой должен быть осуществлен платеж по Распоряжению;</w:t>
      </w:r>
    </w:p>
    <w:p w:rsidR="00E10B76" w:rsidRDefault="00E10B76">
      <w:pPr>
        <w:pStyle w:val="ConsPlusNormal"/>
        <w:spacing w:before="220"/>
        <w:ind w:firstLine="540"/>
        <w:jc w:val="both"/>
      </w:pPr>
      <w:proofErr w:type="gramStart"/>
      <w:r>
        <w:t xml:space="preserve">10) </w:t>
      </w:r>
      <w:proofErr w:type="spellStart"/>
      <w:r>
        <w:t>непревышение</w:t>
      </w:r>
      <w:proofErr w:type="spellEnd"/>
      <w:r>
        <w:t xml:space="preserve">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roofErr w:type="gramEnd"/>
    </w:p>
    <w:p w:rsidR="00E10B76" w:rsidRDefault="00E10B76">
      <w:pPr>
        <w:pStyle w:val="ConsPlusNormal"/>
        <w:spacing w:before="220"/>
        <w:ind w:firstLine="540"/>
        <w:jc w:val="both"/>
      </w:pPr>
      <w:r>
        <w:t>11) соответствие кода классификации расходов федерального бюджета и уникального кода объекта капитального строительства или объекта недвижимого имущества (мероприятия по информатизации) по денежному обязательству и платежу;</w:t>
      </w:r>
    </w:p>
    <w:p w:rsidR="00E10B76" w:rsidRDefault="00E10B76">
      <w:pPr>
        <w:pStyle w:val="ConsPlusNormal"/>
        <w:spacing w:before="220"/>
        <w:ind w:firstLine="540"/>
        <w:jc w:val="both"/>
      </w:pPr>
      <w:r>
        <w:t xml:space="preserve">12) </w:t>
      </w:r>
      <w:proofErr w:type="spellStart"/>
      <w:r>
        <w:t>непревышение</w:t>
      </w:r>
      <w:proofErr w:type="spellEnd"/>
      <w:r>
        <w:t xml:space="preserve"> размера авансового платежа, указанного в Распоряжении, над суммой авансового платежа по договору (государственному контракту) (суммой авансового платежа по этапу исполнения договора (государственного контракта) в случае, если договором (государственным контрактом) предусмотрено его поэтапное исполнение) с учетом ранее осуществленных авансовых платежей;</w:t>
      </w:r>
    </w:p>
    <w:p w:rsidR="00E10B76" w:rsidRDefault="00E10B76">
      <w:pPr>
        <w:pStyle w:val="ConsPlusNormal"/>
        <w:jc w:val="both"/>
      </w:pPr>
      <w:r>
        <w:t>(</w:t>
      </w:r>
      <w:proofErr w:type="spellStart"/>
      <w:r>
        <w:t>пп</w:t>
      </w:r>
      <w:proofErr w:type="spellEnd"/>
      <w:r>
        <w:t xml:space="preserve">. 12 в ред. </w:t>
      </w:r>
      <w:hyperlink r:id="rId49">
        <w:r>
          <w:rPr>
            <w:color w:val="0000FF"/>
          </w:rPr>
          <w:t>Приказа</w:t>
        </w:r>
      </w:hyperlink>
      <w:r>
        <w:t xml:space="preserve"> Минфина России от 19.09.2022 N 140н)</w:t>
      </w:r>
    </w:p>
    <w:p w:rsidR="00E10B76" w:rsidRDefault="00E10B76">
      <w:pPr>
        <w:pStyle w:val="ConsPlusNormal"/>
        <w:spacing w:before="220"/>
        <w:ind w:firstLine="540"/>
        <w:jc w:val="both"/>
      </w:pPr>
      <w:bookmarkStart w:id="16" w:name="P136"/>
      <w:bookmarkEnd w:id="16"/>
      <w:r>
        <w:t>13) соответствие уникального номера реестровой записи в реестре контрактов или реестре контрактов, содержащих сведения, составляющие государственную тайну (далее - реестр контрактов, содержащий государственную тайну) &lt;8&gt;, договору (государственному контракту), подлежащему включению в реестр контрактов или реестр контрактов, содержащий государственную тайну, указанных в Распоряжении;</w:t>
      </w:r>
    </w:p>
    <w:p w:rsidR="00E10B76" w:rsidRDefault="00E10B76">
      <w:pPr>
        <w:pStyle w:val="ConsPlusNormal"/>
        <w:jc w:val="both"/>
      </w:pPr>
      <w:r>
        <w:t xml:space="preserve">(в ред. </w:t>
      </w:r>
      <w:hyperlink r:id="rId50">
        <w:r>
          <w:rPr>
            <w:color w:val="0000FF"/>
          </w:rPr>
          <w:t>Приказа</w:t>
        </w:r>
      </w:hyperlink>
      <w:r>
        <w:t xml:space="preserve"> Минфина России от 19.09.2022 N 140н)</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&lt;8&gt; </w:t>
      </w:r>
      <w:hyperlink r:id="rId51">
        <w:r>
          <w:rPr>
            <w:color w:val="0000FF"/>
          </w:rPr>
          <w:t>Пункт 20</w:t>
        </w:r>
      </w:hyperlink>
      <w:r>
        <w:t xml:space="preserve"> Правил ведения реестра контрактов и </w:t>
      </w:r>
      <w:hyperlink r:id="rId52">
        <w:r>
          <w:rPr>
            <w:color w:val="0000FF"/>
          </w:rPr>
          <w:t>пункт 15</w:t>
        </w:r>
      </w:hyperlink>
      <w:r>
        <w:t xml:space="preserve"> Правил ведения реестра контрактов, содержащий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w:t>
      </w:r>
    </w:p>
    <w:p w:rsidR="00E10B76" w:rsidRDefault="00E10B76">
      <w:pPr>
        <w:pStyle w:val="ConsPlusNormal"/>
        <w:jc w:val="both"/>
      </w:pPr>
      <w:r>
        <w:t xml:space="preserve">(сноска в ред. </w:t>
      </w:r>
      <w:hyperlink r:id="rId53">
        <w:r>
          <w:rPr>
            <w:color w:val="0000FF"/>
          </w:rPr>
          <w:t>Приказа</w:t>
        </w:r>
      </w:hyperlink>
      <w:r>
        <w:t xml:space="preserve"> Минфина России от 19.09.2022 N 140н)</w:t>
      </w:r>
    </w:p>
    <w:p w:rsidR="00E10B76" w:rsidRDefault="00E10B76">
      <w:pPr>
        <w:pStyle w:val="ConsPlusNormal"/>
        <w:jc w:val="both"/>
      </w:pPr>
    </w:p>
    <w:p w:rsidR="00E10B76" w:rsidRDefault="00E10B76">
      <w:pPr>
        <w:pStyle w:val="ConsPlusNormal"/>
        <w:ind w:firstLine="540"/>
        <w:jc w:val="both"/>
      </w:pPr>
      <w:r>
        <w:t>Проверка, установленная настоящим подпунктом, не производится при представлении Распоряжения для осуществления первого авансового платежа по договору (государственному контракту), содержащему сведения, составляющие государственную тайну;</w:t>
      </w:r>
    </w:p>
    <w:p w:rsidR="00E10B76" w:rsidRDefault="00E10B76">
      <w:pPr>
        <w:pStyle w:val="ConsPlusNormal"/>
        <w:spacing w:before="220"/>
        <w:ind w:firstLine="540"/>
        <w:jc w:val="both"/>
      </w:pPr>
      <w:bookmarkStart w:id="17" w:name="P143"/>
      <w:bookmarkEnd w:id="17"/>
      <w:r>
        <w:t xml:space="preserve">14) </w:t>
      </w:r>
      <w:proofErr w:type="spellStart"/>
      <w:r>
        <w:t>непревышение</w:t>
      </w:r>
      <w:proofErr w:type="spellEnd"/>
      <w:r>
        <w:t xml:space="preserve">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 установленным федеральным законом (постановлением Правительства Российской Федерации);</w:t>
      </w:r>
    </w:p>
    <w:p w:rsidR="00E10B76" w:rsidRDefault="00E10B76">
      <w:pPr>
        <w:pStyle w:val="ConsPlusNormal"/>
        <w:spacing w:before="220"/>
        <w:ind w:firstLine="540"/>
        <w:jc w:val="both"/>
      </w:pPr>
      <w:bookmarkStart w:id="18" w:name="P144"/>
      <w:bookmarkEnd w:id="18"/>
      <w:r>
        <w:t xml:space="preserve">15) </w:t>
      </w:r>
      <w:proofErr w:type="spellStart"/>
      <w:r>
        <w:t>неопережение</w:t>
      </w:r>
      <w:proofErr w:type="spellEnd"/>
      <w:r>
        <w:t xml:space="preserve"> графика внесения арендной платы по бюджетному обязательству, в случае представления Распоряжения для оплаты денежных обязательств по договору аренды;</w:t>
      </w:r>
    </w:p>
    <w:p w:rsidR="00E10B76" w:rsidRDefault="00E10B76">
      <w:pPr>
        <w:pStyle w:val="ConsPlusNormal"/>
        <w:spacing w:before="220"/>
        <w:ind w:firstLine="540"/>
        <w:jc w:val="both"/>
      </w:pPr>
      <w:bookmarkStart w:id="19" w:name="P145"/>
      <w:bookmarkEnd w:id="19"/>
      <w:r>
        <w:t>16) наличие размещенного в реестре государственных заданий на оказание государственных услуг (выполнение работ) на едином портале бюджетной системы Российской Федерации государственного задания на оказание государственных услуг (выполнение работ), в порядке, установленном Министерством финансов Российской Федерации &lt;9&gt;, в случае представления Распоряжения при перечислении субсидии на финансовое обеспечение выполнения государственного задания;</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proofErr w:type="gramStart"/>
      <w:r>
        <w:t xml:space="preserve">&lt;9&gt; </w:t>
      </w:r>
      <w:hyperlink r:id="rId54">
        <w:r>
          <w:rPr>
            <w:color w:val="0000FF"/>
          </w:rPr>
          <w:t>Пункт 9</w:t>
        </w:r>
      </w:hyperlink>
      <w:r>
        <w:t xml:space="preserve"> Положения о формировании государственного задания на оказание государственных услуг </w:t>
      </w:r>
      <w:r>
        <w:lastRenderedPageBreak/>
        <w:t>(выполнение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от 26 июня 2015 г. N 640 (Собрание законодательства Российской Федерации, 2015, N 28, ст. 4226; 2017, N 51, ст. 7812).</w:t>
      </w:r>
      <w:proofErr w:type="gramEnd"/>
    </w:p>
    <w:p w:rsidR="00E10B76" w:rsidRDefault="00E10B76">
      <w:pPr>
        <w:pStyle w:val="ConsPlusNormal"/>
        <w:ind w:firstLine="540"/>
        <w:jc w:val="both"/>
      </w:pPr>
    </w:p>
    <w:p w:rsidR="00E10B76" w:rsidRDefault="00E10B76">
      <w:pPr>
        <w:pStyle w:val="ConsPlusNormal"/>
        <w:ind w:firstLine="540"/>
        <w:jc w:val="both"/>
      </w:pPr>
      <w:bookmarkStart w:id="20" w:name="P149"/>
      <w:bookmarkEnd w:id="20"/>
      <w:proofErr w:type="gramStart"/>
      <w:r>
        <w:t>17) соответствие идентификатора договора (государственного контракта), соглашения, договора о предоставлении инвестиций, указанного в Распоряжении, идентификатору, указанному в договоре (государственном контракте), соглашении, договоре о предоставлении инвестиций (при наличии);</w:t>
      </w:r>
      <w:proofErr w:type="gramEnd"/>
    </w:p>
    <w:p w:rsidR="00E10B76" w:rsidRDefault="00E10B76">
      <w:pPr>
        <w:pStyle w:val="ConsPlusNormal"/>
        <w:jc w:val="both"/>
      </w:pPr>
      <w:r>
        <w:t>(</w:t>
      </w:r>
      <w:proofErr w:type="spellStart"/>
      <w:r>
        <w:t>пп</w:t>
      </w:r>
      <w:proofErr w:type="spellEnd"/>
      <w:r>
        <w:t xml:space="preserve">. 17 </w:t>
      </w:r>
      <w:proofErr w:type="gramStart"/>
      <w:r>
        <w:t>введен</w:t>
      </w:r>
      <w:proofErr w:type="gramEnd"/>
      <w:r>
        <w:t xml:space="preserve"> </w:t>
      </w:r>
      <w:hyperlink r:id="rId55">
        <w:r>
          <w:rPr>
            <w:color w:val="0000FF"/>
          </w:rPr>
          <w:t>Приказом</w:t>
        </w:r>
      </w:hyperlink>
      <w:r>
        <w:t xml:space="preserve"> Минфина России от 19.09.2022 N 140н)</w:t>
      </w:r>
    </w:p>
    <w:p w:rsidR="00E10B76" w:rsidRDefault="00E10B76">
      <w:pPr>
        <w:pStyle w:val="ConsPlusNormal"/>
        <w:spacing w:before="220"/>
        <w:ind w:firstLine="540"/>
        <w:jc w:val="both"/>
      </w:pPr>
      <w:r>
        <w:t>18)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E10B76" w:rsidRDefault="00E10B76">
      <w:pPr>
        <w:pStyle w:val="ConsPlusNormal"/>
        <w:jc w:val="both"/>
      </w:pPr>
      <w:r>
        <w:t>(</w:t>
      </w:r>
      <w:proofErr w:type="spellStart"/>
      <w:r>
        <w:t>пп</w:t>
      </w:r>
      <w:proofErr w:type="spellEnd"/>
      <w:r>
        <w:t xml:space="preserve">. 18 </w:t>
      </w:r>
      <w:proofErr w:type="gramStart"/>
      <w:r>
        <w:t>введен</w:t>
      </w:r>
      <w:proofErr w:type="gramEnd"/>
      <w:r>
        <w:t xml:space="preserve"> </w:t>
      </w:r>
      <w:hyperlink r:id="rId56">
        <w:r>
          <w:rPr>
            <w:color w:val="0000FF"/>
          </w:rPr>
          <w:t>Приказом</w:t>
        </w:r>
      </w:hyperlink>
      <w:r>
        <w:t xml:space="preserve"> Минфина России от 19.09.2022 N 140н)</w:t>
      </w:r>
    </w:p>
    <w:p w:rsidR="00E10B76" w:rsidRDefault="00E10B76">
      <w:pPr>
        <w:pStyle w:val="ConsPlusNormal"/>
        <w:spacing w:before="220"/>
        <w:ind w:firstLine="540"/>
        <w:jc w:val="both"/>
      </w:pPr>
      <w:bookmarkStart w:id="21" w:name="P153"/>
      <w:bookmarkEnd w:id="21"/>
      <w:r>
        <w:t xml:space="preserve">19) </w:t>
      </w:r>
      <w:proofErr w:type="spellStart"/>
      <w:r>
        <w:t>непревышение</w:t>
      </w:r>
      <w:proofErr w:type="spellEnd"/>
      <w:r>
        <w:t xml:space="preserve"> суммы Распоряжения над суммой, указанной в документе, подтверждающем возникновение денежного обязательства.</w:t>
      </w:r>
    </w:p>
    <w:p w:rsidR="00E10B76" w:rsidRDefault="00E10B76">
      <w:pPr>
        <w:pStyle w:val="ConsPlusNormal"/>
        <w:jc w:val="both"/>
      </w:pPr>
      <w:r>
        <w:t>(</w:t>
      </w:r>
      <w:proofErr w:type="spellStart"/>
      <w:r>
        <w:t>пп</w:t>
      </w:r>
      <w:proofErr w:type="spellEnd"/>
      <w:r>
        <w:t xml:space="preserve">. 19 </w:t>
      </w:r>
      <w:proofErr w:type="gramStart"/>
      <w:r>
        <w:t>введен</w:t>
      </w:r>
      <w:proofErr w:type="gramEnd"/>
      <w:r>
        <w:t xml:space="preserve"> </w:t>
      </w:r>
      <w:hyperlink r:id="rId57">
        <w:r>
          <w:rPr>
            <w:color w:val="0000FF"/>
          </w:rPr>
          <w:t>Приказом</w:t>
        </w:r>
      </w:hyperlink>
      <w:r>
        <w:t xml:space="preserve"> Минфина России от 19.09.2022 N 140н)</w:t>
      </w:r>
    </w:p>
    <w:p w:rsidR="00E10B76" w:rsidRDefault="00E10B76">
      <w:pPr>
        <w:pStyle w:val="ConsPlusNormal"/>
        <w:spacing w:before="220"/>
        <w:ind w:firstLine="540"/>
        <w:jc w:val="both"/>
      </w:pPr>
      <w:bookmarkStart w:id="22" w:name="P155"/>
      <w:bookmarkEnd w:id="22"/>
      <w:proofErr w:type="gramStart"/>
      <w:r>
        <w:t>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денежном обязательстве, на соответствие фактически поставленным товарам, выполненным работам, оказанным услугам.</w:t>
      </w:r>
      <w:proofErr w:type="gramEnd"/>
    </w:p>
    <w:p w:rsidR="00E10B76" w:rsidRDefault="00E10B76">
      <w:pPr>
        <w:pStyle w:val="ConsPlusNormal"/>
        <w:spacing w:before="220"/>
        <w:ind w:firstLine="540"/>
        <w:jc w:val="both"/>
      </w:pPr>
      <w:proofErr w:type="gramStart"/>
      <w:r>
        <w:t xml:space="preserve">В случае если Распоряжение представляется для оплаты денежного обязательства в иностранной валюте, не предусмотренной в Перечне главных распорядителей средств федерального бюджета, получающих иностранную валюту, орган Федерального казначейства для осуществления проверки по направлению, предусмотренному </w:t>
      </w:r>
      <w:hyperlink w:anchor="P122">
        <w:r>
          <w:rPr>
            <w:color w:val="0000FF"/>
          </w:rPr>
          <w:t>подпунктом 4.1</w:t>
        </w:r>
      </w:hyperlink>
      <w:r>
        <w:t xml:space="preserve"> настоящего пункта, рассчитывает по официальным курсам иностранных валют по отношению к рублю, установленным Центральным банком Российской Федерации на дату проведения указанной операции, объем лимитов бюджетных</w:t>
      </w:r>
      <w:proofErr w:type="gramEnd"/>
      <w:r>
        <w:t xml:space="preserve"> обязательств, используемых для проведения такой операции, и эквивалент указанного объема лимитов бюджетных обязательств в иностранной валюте, предусмотренной в Перечне главных распорядителей средств федерального бюджета, получающих иностранную валюту.</w:t>
      </w:r>
    </w:p>
    <w:p w:rsidR="00E10B76" w:rsidRDefault="00E10B76">
      <w:pPr>
        <w:pStyle w:val="ConsPlusNormal"/>
        <w:jc w:val="both"/>
      </w:pPr>
      <w:r>
        <w:t xml:space="preserve">(абзац введен </w:t>
      </w:r>
      <w:hyperlink r:id="rId58">
        <w:r>
          <w:rPr>
            <w:color w:val="0000FF"/>
          </w:rPr>
          <w:t>Приказом</w:t>
        </w:r>
      </w:hyperlink>
      <w:r>
        <w:t xml:space="preserve"> Минфина России от 19.09.2022 N 140н; в ред. </w:t>
      </w:r>
      <w:hyperlink r:id="rId59">
        <w:r>
          <w:rPr>
            <w:color w:val="0000FF"/>
          </w:rPr>
          <w:t>Приказа</w:t>
        </w:r>
      </w:hyperlink>
      <w:r>
        <w:t xml:space="preserve"> Минфина России от 23.08.2024 N 119н)</w:t>
      </w:r>
    </w:p>
    <w:p w:rsidR="00E10B76" w:rsidRDefault="00E10B76">
      <w:pPr>
        <w:pStyle w:val="ConsPlusNormal"/>
        <w:spacing w:before="220"/>
        <w:ind w:firstLine="540"/>
        <w:jc w:val="both"/>
      </w:pPr>
      <w:proofErr w:type="gramStart"/>
      <w:r>
        <w:t xml:space="preserve">В случае если Распоряжение представляется в валюте Российской Федерации для оплаты денежного обязательства по кодам бюджетной классификации Российской Федерации, предусмотренным в </w:t>
      </w:r>
      <w:hyperlink r:id="rId60">
        <w:r>
          <w:rPr>
            <w:color w:val="0000FF"/>
          </w:rPr>
          <w:t>Перечне</w:t>
        </w:r>
      </w:hyperlink>
      <w:r>
        <w:t xml:space="preserve"> главных распорядителей средств федерального бюджета, получающих иностранную валюту, орган Федерального казначейства для осуществления проверки по направлению, предусмотренному </w:t>
      </w:r>
      <w:hyperlink w:anchor="P122">
        <w:r>
          <w:rPr>
            <w:color w:val="0000FF"/>
          </w:rPr>
          <w:t>подпунктом 4.1</w:t>
        </w:r>
      </w:hyperlink>
      <w:r>
        <w:t xml:space="preserve"> настоящего пункта, рассчитывает эквивалент суммы такой операции в иностранной валюте, предусмотренной в </w:t>
      </w:r>
      <w:hyperlink r:id="rId61">
        <w:r>
          <w:rPr>
            <w:color w:val="0000FF"/>
          </w:rPr>
          <w:t>Перечне</w:t>
        </w:r>
      </w:hyperlink>
      <w:r>
        <w:t xml:space="preserve"> главных распорядителей средств федерального бюджета, получающих</w:t>
      </w:r>
      <w:proofErr w:type="gramEnd"/>
      <w:r>
        <w:t xml:space="preserve"> иностранную валюту, по официальному курсу такой иностранной валюты по отношению к рублю, установленному Центральным банком Российской Федерации на дату проведения указанной операции.</w:t>
      </w:r>
    </w:p>
    <w:p w:rsidR="00E10B76" w:rsidRDefault="00E10B76">
      <w:pPr>
        <w:pStyle w:val="ConsPlusNormal"/>
        <w:jc w:val="both"/>
      </w:pPr>
      <w:r>
        <w:t xml:space="preserve">(абзац введен </w:t>
      </w:r>
      <w:hyperlink r:id="rId62">
        <w:r>
          <w:rPr>
            <w:color w:val="0000FF"/>
          </w:rPr>
          <w:t>Приказом</w:t>
        </w:r>
      </w:hyperlink>
      <w:r>
        <w:t xml:space="preserve"> Минфина России от 23.08.2024 N 119н)</w:t>
      </w:r>
    </w:p>
    <w:p w:rsidR="00E10B76" w:rsidRDefault="00E10B76">
      <w:pPr>
        <w:pStyle w:val="ConsPlusNormal"/>
        <w:spacing w:before="220"/>
        <w:ind w:firstLine="540"/>
        <w:jc w:val="both"/>
      </w:pPr>
      <w:bookmarkStart w:id="23" w:name="P160"/>
      <w:bookmarkEnd w:id="23"/>
      <w:r>
        <w:t xml:space="preserve">7. </w:t>
      </w:r>
      <w:proofErr w:type="gramStart"/>
      <w:r>
        <w:t xml:space="preserve">В случае если Распоряжение представляется для оплаты денежного обязательства, сформированного органом Федерального казначейства в соответствии с порядком учета обязательств, получатель средств федерального бюджета представляет в орган Федерального казначейства вместе с Распоряжением указанный в нем документ, подтверждающий возникновение денежного обязательства (за исключением документов, содержащих сведения, составляющие государственную и иную охраняемую законом тайну, документов указанных в </w:t>
      </w:r>
      <w:hyperlink r:id="rId63">
        <w:r>
          <w:rPr>
            <w:color w:val="0000FF"/>
          </w:rPr>
          <w:t>пунктах 11</w:t>
        </w:r>
      </w:hyperlink>
      <w:r>
        <w:t xml:space="preserve"> - </w:t>
      </w:r>
      <w:hyperlink r:id="rId64">
        <w:r>
          <w:rPr>
            <w:color w:val="0000FF"/>
          </w:rPr>
          <w:t>13</w:t>
        </w:r>
      </w:hyperlink>
      <w:r>
        <w:t xml:space="preserve">, </w:t>
      </w:r>
      <w:hyperlink r:id="rId65">
        <w:r>
          <w:rPr>
            <w:color w:val="0000FF"/>
          </w:rPr>
          <w:t>строке 1</w:t>
        </w:r>
      </w:hyperlink>
      <w:r>
        <w:t xml:space="preserve">, </w:t>
      </w:r>
      <w:hyperlink r:id="rId66">
        <w:r>
          <w:rPr>
            <w:color w:val="0000FF"/>
          </w:rPr>
          <w:t>строках</w:t>
        </w:r>
        <w:proofErr w:type="gramEnd"/>
        <w:r>
          <w:rPr>
            <w:color w:val="0000FF"/>
          </w:rPr>
          <w:t xml:space="preserve"> </w:t>
        </w:r>
        <w:proofErr w:type="gramStart"/>
        <w:r>
          <w:rPr>
            <w:color w:val="0000FF"/>
          </w:rPr>
          <w:t>6</w:t>
        </w:r>
      </w:hyperlink>
      <w:r>
        <w:t xml:space="preserve">, </w:t>
      </w:r>
      <w:hyperlink r:id="rId67">
        <w:r>
          <w:rPr>
            <w:color w:val="0000FF"/>
          </w:rPr>
          <w:t>7</w:t>
        </w:r>
      </w:hyperlink>
      <w:r>
        <w:t xml:space="preserve"> и </w:t>
      </w:r>
      <w:hyperlink r:id="rId68">
        <w:r>
          <w:rPr>
            <w:color w:val="0000FF"/>
          </w:rPr>
          <w:t>10</w:t>
        </w:r>
      </w:hyperlink>
      <w:r>
        <w:t xml:space="preserve"> - </w:t>
      </w:r>
      <w:hyperlink r:id="rId69">
        <w:r>
          <w:rPr>
            <w:color w:val="0000FF"/>
          </w:rPr>
          <w:t>13 пункта 14 графы 3</w:t>
        </w:r>
      </w:hyperlink>
      <w:r>
        <w:t xml:space="preserve"> Перечня, а также договора на оказание услуг, выполнение работ, заключенного получателем средств федерального бюджета с физическим лицом, не являющимся индивидуальным предпринимателем, указанного в </w:t>
      </w:r>
      <w:hyperlink r:id="rId70">
        <w:r>
          <w:rPr>
            <w:color w:val="0000FF"/>
          </w:rPr>
          <w:t>строке 5 пункта 14</w:t>
        </w:r>
      </w:hyperlink>
      <w:r>
        <w:t xml:space="preserve"> Перечня, в случае, если сумма указанного договора не превышает 100 тысяч рублей).</w:t>
      </w:r>
      <w:proofErr w:type="gramEnd"/>
    </w:p>
    <w:p w:rsidR="00E10B76" w:rsidRDefault="00E10B76">
      <w:pPr>
        <w:pStyle w:val="ConsPlusNormal"/>
        <w:jc w:val="both"/>
      </w:pPr>
      <w:r>
        <w:t xml:space="preserve">(в ред. Приказов Минфина России от 30.11.2021 </w:t>
      </w:r>
      <w:hyperlink r:id="rId71">
        <w:r>
          <w:rPr>
            <w:color w:val="0000FF"/>
          </w:rPr>
          <w:t>N 197н</w:t>
        </w:r>
      </w:hyperlink>
      <w:r>
        <w:t xml:space="preserve">, от 19.09.2022 </w:t>
      </w:r>
      <w:hyperlink r:id="rId72">
        <w:r>
          <w:rPr>
            <w:color w:val="0000FF"/>
          </w:rPr>
          <w:t>N 140н</w:t>
        </w:r>
      </w:hyperlink>
      <w:r>
        <w:t>)</w:t>
      </w:r>
    </w:p>
    <w:p w:rsidR="00E10B76" w:rsidRDefault="00E10B76">
      <w:pPr>
        <w:pStyle w:val="ConsPlusNormal"/>
        <w:spacing w:before="220"/>
        <w:ind w:firstLine="540"/>
        <w:jc w:val="both"/>
      </w:pPr>
      <w:r>
        <w:lastRenderedPageBreak/>
        <w:t>При санкционировании оплаты денежных обязатель</w:t>
      </w:r>
      <w:proofErr w:type="gramStart"/>
      <w:r>
        <w:t>ств в сл</w:t>
      </w:r>
      <w:proofErr w:type="gramEnd"/>
      <w:r>
        <w:t xml:space="preserve">учае, установленном настоящим пунктом, дополнительно к направлениям проверки, установленным </w:t>
      </w:r>
      <w:hyperlink w:anchor="P113">
        <w:r>
          <w:rPr>
            <w:color w:val="0000FF"/>
          </w:rPr>
          <w:t>пунктом 6</w:t>
        </w:r>
      </w:hyperlink>
      <w:r>
        <w:t xml:space="preserve"> настоящего Порядка, осуществляется проверка равенства сумм Распоряжения сумме соответствующего денежного обязательства.</w:t>
      </w:r>
    </w:p>
    <w:p w:rsidR="00E10B76" w:rsidRDefault="00E10B76">
      <w:pPr>
        <w:pStyle w:val="ConsPlusNormal"/>
        <w:spacing w:before="220"/>
        <w:ind w:firstLine="540"/>
        <w:jc w:val="both"/>
      </w:pPr>
      <w:r>
        <w:t xml:space="preserve">8. Утратил силу с 1 июля 2023 года. - </w:t>
      </w:r>
      <w:hyperlink r:id="rId73">
        <w:r>
          <w:rPr>
            <w:color w:val="0000FF"/>
          </w:rPr>
          <w:t>Приказ</w:t>
        </w:r>
      </w:hyperlink>
      <w:r>
        <w:t xml:space="preserve"> Минфина России от 19.09.2022 N 140н.</w:t>
      </w:r>
    </w:p>
    <w:p w:rsidR="00E10B76" w:rsidRDefault="00E10B76">
      <w:pPr>
        <w:pStyle w:val="ConsPlusNormal"/>
        <w:spacing w:before="220"/>
        <w:ind w:firstLine="540"/>
        <w:jc w:val="both"/>
      </w:pPr>
      <w:bookmarkStart w:id="24" w:name="P164"/>
      <w:bookmarkEnd w:id="24"/>
      <w:r>
        <w:t xml:space="preserve">9. </w:t>
      </w:r>
      <w:proofErr w:type="gramStart"/>
      <w:r>
        <w:t>Для подтверждения денежного обязательства, возникшего по бюджетному обязательству, обусловленному договором (государственным контрактом), предусматривающим обязанность получателя средств федерального бюджета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федерального бюджета, получатель средств федерального бюджета представляет в орган Федерального казначейства по</w:t>
      </w:r>
      <w:proofErr w:type="gramEnd"/>
      <w:r>
        <w:t xml:space="preserve"> месту обслуживания, в том числе с использованием единой информационной системы в сфере закупок, не позднее представления Распоряжения на оплату денежного обязательства по договору (государственному контракту) Распоряжение на перечисление в доход федерального бюджета суммы неустойки (штрафа, пеней) по данному договору (государственному контракту).</w:t>
      </w:r>
    </w:p>
    <w:p w:rsidR="00E10B76" w:rsidRDefault="00E10B76">
      <w:pPr>
        <w:pStyle w:val="ConsPlusNormal"/>
        <w:jc w:val="both"/>
      </w:pPr>
      <w:r>
        <w:t xml:space="preserve">(в ред. </w:t>
      </w:r>
      <w:hyperlink r:id="rId74">
        <w:r>
          <w:rPr>
            <w:color w:val="0000FF"/>
          </w:rPr>
          <w:t>Приказа</w:t>
        </w:r>
      </w:hyperlink>
      <w:r>
        <w:t xml:space="preserve"> Минфина России от 19.09.2022 N 140н)</w:t>
      </w:r>
    </w:p>
    <w:p w:rsidR="00E10B76" w:rsidRDefault="00E10B76">
      <w:pPr>
        <w:pStyle w:val="ConsPlusNormal"/>
        <w:spacing w:before="220"/>
        <w:ind w:firstLine="540"/>
        <w:jc w:val="both"/>
      </w:pPr>
      <w:bookmarkStart w:id="25" w:name="P166"/>
      <w:bookmarkEnd w:id="25"/>
      <w:r>
        <w:t>10.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E10B76" w:rsidRDefault="00E10B76">
      <w:pPr>
        <w:pStyle w:val="ConsPlusNormal"/>
        <w:spacing w:before="220"/>
        <w:ind w:firstLine="540"/>
        <w:jc w:val="both"/>
      </w:pPr>
      <w:r>
        <w:t>1) соответствие указанных в Распоряжении кодов классификации расходов федерального бюджета кодам бюджетной классификации Российской Федерации, действующим в текущем финансовом году на момент представления Распоряжения;</w:t>
      </w:r>
    </w:p>
    <w:p w:rsidR="00E10B76" w:rsidRDefault="00E10B76">
      <w:pPr>
        <w:pStyle w:val="ConsPlusNormal"/>
        <w:spacing w:before="220"/>
        <w:ind w:firstLine="540"/>
        <w:jc w:val="both"/>
      </w:pPr>
      <w:r>
        <w:t xml:space="preserve">2) соответствие указанных в Распоряжении </w:t>
      </w:r>
      <w:proofErr w:type="gramStart"/>
      <w:r>
        <w:t>кодов видов расходов классификации расходов федерального бюджета</w:t>
      </w:r>
      <w:proofErr w:type="gramEnd"/>
      <w: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E10B76" w:rsidRDefault="00E10B76">
      <w:pPr>
        <w:pStyle w:val="ConsPlusNormal"/>
        <w:spacing w:before="220"/>
        <w:ind w:firstLine="540"/>
        <w:jc w:val="both"/>
      </w:pPr>
      <w:r>
        <w:t xml:space="preserve">3) </w:t>
      </w:r>
      <w:proofErr w:type="spellStart"/>
      <w:r>
        <w:t>непревышение</w:t>
      </w:r>
      <w:proofErr w:type="spellEnd"/>
      <w:r>
        <w:t xml:space="preserve"> сумм, указанных в Распоряжении, над остатками соответствующих бюджетных ассигнований, учтенных на лицевом счете получателя бюджетных средств.</w:t>
      </w:r>
    </w:p>
    <w:p w:rsidR="00E10B76" w:rsidRDefault="00E10B76">
      <w:pPr>
        <w:pStyle w:val="ConsPlusNormal"/>
        <w:spacing w:before="220"/>
        <w:ind w:firstLine="540"/>
        <w:jc w:val="both"/>
      </w:pPr>
      <w:bookmarkStart w:id="26" w:name="P170"/>
      <w:bookmarkEnd w:id="26"/>
      <w:r>
        <w:t>11. При санкционировании оплаты денежных обязательств по перечислениям по источникам финансирования дефицита федерального бюджета осуществляется проверка Распоряжения по следующим направлениям:</w:t>
      </w:r>
    </w:p>
    <w:p w:rsidR="00E10B76" w:rsidRDefault="00E10B76">
      <w:pPr>
        <w:pStyle w:val="ConsPlusNormal"/>
        <w:spacing w:before="220"/>
        <w:ind w:firstLine="540"/>
        <w:jc w:val="both"/>
      </w:pPr>
      <w:proofErr w:type="gramStart"/>
      <w:r>
        <w:t>1) соответствие указанных в Распоряжении кодов классификации источников финансирования дефицита федерального бюджета кодам бюджетной классификации Российской Федерации, действующим в текущем финансовом году на момент представления Распоряжения;</w:t>
      </w:r>
      <w:proofErr w:type="gramEnd"/>
    </w:p>
    <w:p w:rsidR="00E10B76" w:rsidRDefault="00E10B76">
      <w:pPr>
        <w:pStyle w:val="ConsPlusNormal"/>
        <w:spacing w:before="220"/>
        <w:ind w:firstLine="540"/>
        <w:jc w:val="both"/>
      </w:pPr>
      <w:r>
        <w:t xml:space="preserve">2) соответствие указанных в Распоряжении </w:t>
      </w:r>
      <w:proofErr w:type="gramStart"/>
      <w:r>
        <w:t>кодов аналитической группы вида источника финансирования дефицита бюджета</w:t>
      </w:r>
      <w:proofErr w:type="gramEnd"/>
      <w: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E10B76" w:rsidRDefault="00E10B76">
      <w:pPr>
        <w:pStyle w:val="ConsPlusNormal"/>
        <w:spacing w:before="220"/>
        <w:ind w:firstLine="540"/>
        <w:jc w:val="both"/>
      </w:pPr>
      <w:r>
        <w:t xml:space="preserve">3) </w:t>
      </w:r>
      <w:proofErr w:type="spellStart"/>
      <w:r>
        <w:t>непревышение</w:t>
      </w:r>
      <w:proofErr w:type="spellEnd"/>
      <w:r>
        <w:t xml:space="preserve"> сумм, указанных в Распоряжении, остаткам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p w:rsidR="00E10B76" w:rsidRDefault="00E10B76">
      <w:pPr>
        <w:pStyle w:val="ConsPlusNormal"/>
        <w:spacing w:before="220"/>
        <w:ind w:firstLine="540"/>
        <w:jc w:val="both"/>
      </w:pPr>
      <w:bookmarkStart w:id="27" w:name="P174"/>
      <w:bookmarkEnd w:id="27"/>
      <w:r>
        <w:t>11.1. При санкционировании оплаты денежных обязательств по договорам (государственным контрактам), подлежащим включению в реестр контрактов, на основании Распоряжений, сформированных в единой информационной системе в сфере закупок, осуществляется проверка по направлениям, предусмотренным:</w:t>
      </w:r>
    </w:p>
    <w:bookmarkStart w:id="28" w:name="P175"/>
    <w:bookmarkEnd w:id="28"/>
    <w:p w:rsidR="00E10B76" w:rsidRDefault="00E10B76">
      <w:pPr>
        <w:pStyle w:val="ConsPlusNormal"/>
        <w:spacing w:before="220"/>
        <w:ind w:firstLine="540"/>
        <w:jc w:val="both"/>
      </w:pPr>
      <w:r>
        <w:fldChar w:fldCharType="begin"/>
      </w:r>
      <w:r>
        <w:instrText xml:space="preserve"> HYPERLINK \l "P66" \h </w:instrText>
      </w:r>
      <w:r>
        <w:fldChar w:fldCharType="separate"/>
      </w:r>
      <w:proofErr w:type="gramStart"/>
      <w:r>
        <w:rPr>
          <w:color w:val="0000FF"/>
        </w:rPr>
        <w:t>подпунктами 2</w:t>
      </w:r>
      <w:r>
        <w:rPr>
          <w:color w:val="0000FF"/>
        </w:rPr>
        <w:fldChar w:fldCharType="end"/>
      </w:r>
      <w:r>
        <w:t xml:space="preserve"> - </w:t>
      </w:r>
      <w:hyperlink w:anchor="P78">
        <w:r>
          <w:rPr>
            <w:color w:val="0000FF"/>
          </w:rPr>
          <w:t>8</w:t>
        </w:r>
      </w:hyperlink>
      <w:r>
        <w:t xml:space="preserve">, </w:t>
      </w:r>
      <w:hyperlink w:anchor="P83">
        <w:r>
          <w:rPr>
            <w:color w:val="0000FF"/>
          </w:rPr>
          <w:t>13</w:t>
        </w:r>
      </w:hyperlink>
      <w:r>
        <w:t xml:space="preserve"> - </w:t>
      </w:r>
      <w:hyperlink w:anchor="P101">
        <w:r>
          <w:rPr>
            <w:color w:val="0000FF"/>
          </w:rPr>
          <w:t>18 пункта 4</w:t>
        </w:r>
      </w:hyperlink>
      <w:r>
        <w:t xml:space="preserve">, </w:t>
      </w:r>
      <w:hyperlink w:anchor="P114">
        <w:r>
          <w:rPr>
            <w:color w:val="0000FF"/>
          </w:rPr>
          <w:t>подпунктами 1</w:t>
        </w:r>
      </w:hyperlink>
      <w:r>
        <w:t xml:space="preserve"> - </w:t>
      </w:r>
      <w:hyperlink w:anchor="P117">
        <w:r>
          <w:rPr>
            <w:color w:val="0000FF"/>
          </w:rPr>
          <w:t>3</w:t>
        </w:r>
      </w:hyperlink>
      <w:r>
        <w:t xml:space="preserve">, </w:t>
      </w:r>
      <w:hyperlink w:anchor="P127">
        <w:r>
          <w:rPr>
            <w:color w:val="0000FF"/>
          </w:rPr>
          <w:t>5</w:t>
        </w:r>
      </w:hyperlink>
      <w:r>
        <w:t xml:space="preserve"> - </w:t>
      </w:r>
      <w:hyperlink w:anchor="P136">
        <w:r>
          <w:rPr>
            <w:color w:val="0000FF"/>
          </w:rPr>
          <w:t>13</w:t>
        </w:r>
      </w:hyperlink>
      <w:r>
        <w:t xml:space="preserve">, </w:t>
      </w:r>
      <w:hyperlink w:anchor="P149">
        <w:r>
          <w:rPr>
            <w:color w:val="0000FF"/>
          </w:rPr>
          <w:t>17</w:t>
        </w:r>
      </w:hyperlink>
      <w:r>
        <w:t xml:space="preserve"> - </w:t>
      </w:r>
      <w:hyperlink w:anchor="P153">
        <w:r>
          <w:rPr>
            <w:color w:val="0000FF"/>
          </w:rPr>
          <w:t>19 пункта 6</w:t>
        </w:r>
      </w:hyperlink>
      <w:r>
        <w:t xml:space="preserve"> настоящего Порядка - с использованием единой информационной системы в сфере закупок;</w:t>
      </w:r>
      <w:proofErr w:type="gramEnd"/>
    </w:p>
    <w:p w:rsidR="00E10B76" w:rsidRDefault="00E10B76">
      <w:pPr>
        <w:pStyle w:val="ConsPlusNormal"/>
        <w:spacing w:before="220"/>
        <w:ind w:firstLine="540"/>
        <w:jc w:val="both"/>
      </w:pPr>
      <w:hyperlink w:anchor="P121">
        <w:r>
          <w:rPr>
            <w:color w:val="0000FF"/>
          </w:rPr>
          <w:t>подпунктом 4 пункта 6</w:t>
        </w:r>
      </w:hyperlink>
      <w:r>
        <w:t xml:space="preserve"> настоящего Порядка - с использованием государственной интегрированной информационной системы управления общественными финансами "Электронный бюджет" &lt;9.1&gt; после поступления в указанную систему Распоряжения по результатам положительных проверок, предусмотренных </w:t>
      </w:r>
      <w:hyperlink w:anchor="P175">
        <w:r>
          <w:rPr>
            <w:color w:val="0000FF"/>
          </w:rPr>
          <w:t>абзацем вторым</w:t>
        </w:r>
      </w:hyperlink>
      <w:r>
        <w:t xml:space="preserve"> настоящего пункта.</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&lt;9.1&gt; </w:t>
      </w:r>
      <w:hyperlink r:id="rId75">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(Собрание законодательства Российской Федерации, 2015, N 28, ст. 4228; 2022, N 37, ст. 6367).</w:t>
      </w:r>
    </w:p>
    <w:p w:rsidR="00E10B76" w:rsidRDefault="00E10B76">
      <w:pPr>
        <w:pStyle w:val="ConsPlusNormal"/>
        <w:ind w:firstLine="540"/>
        <w:jc w:val="both"/>
      </w:pPr>
    </w:p>
    <w:p w:rsidR="00E10B76" w:rsidRDefault="00E10B76">
      <w:pPr>
        <w:pStyle w:val="ConsPlusNormal"/>
        <w:ind w:firstLine="540"/>
        <w:jc w:val="both"/>
      </w:pPr>
      <w:r>
        <w:t xml:space="preserve">В случае возникновения денежного обязательства на основании документов-оснований, предусмотренных </w:t>
      </w:r>
      <w:hyperlink r:id="rId76">
        <w:r>
          <w:rPr>
            <w:color w:val="0000FF"/>
          </w:rPr>
          <w:t>пунктом 4 графы 2</w:t>
        </w:r>
      </w:hyperlink>
      <w:r>
        <w:t xml:space="preserve"> Перечня, проверка, предусмотренная </w:t>
      </w:r>
      <w:hyperlink w:anchor="P117">
        <w:r>
          <w:rPr>
            <w:color w:val="0000FF"/>
          </w:rPr>
          <w:t>подпунктом 3 пункта 6</w:t>
        </w:r>
      </w:hyperlink>
      <w:r>
        <w:t xml:space="preserve"> настоящего Порядка, осуществляется исходя из кода вида расходов классификации расходов федерального бюджета, указанного в денежном обязательстве.</w:t>
      </w:r>
    </w:p>
    <w:p w:rsidR="00E10B76" w:rsidRDefault="00E10B76">
      <w:pPr>
        <w:pStyle w:val="ConsPlusNormal"/>
        <w:jc w:val="both"/>
      </w:pPr>
      <w:r>
        <w:t xml:space="preserve">(п. 11.1 </w:t>
      </w:r>
      <w:proofErr w:type="gramStart"/>
      <w:r>
        <w:t>введен</w:t>
      </w:r>
      <w:proofErr w:type="gramEnd"/>
      <w:r>
        <w:t xml:space="preserve"> </w:t>
      </w:r>
      <w:hyperlink r:id="rId77">
        <w:r>
          <w:rPr>
            <w:color w:val="0000FF"/>
          </w:rPr>
          <w:t>Приказом</w:t>
        </w:r>
      </w:hyperlink>
      <w:r>
        <w:t xml:space="preserve"> Минфина России от 19.09.2022 N 140н)</w:t>
      </w:r>
    </w:p>
    <w:p w:rsidR="00E10B76" w:rsidRDefault="00E10B76">
      <w:pPr>
        <w:pStyle w:val="ConsPlusNormal"/>
        <w:spacing w:before="220"/>
        <w:ind w:firstLine="540"/>
        <w:jc w:val="both"/>
      </w:pPr>
      <w:bookmarkStart w:id="29" w:name="P182"/>
      <w:bookmarkEnd w:id="29"/>
      <w:r>
        <w:t xml:space="preserve">12. </w:t>
      </w:r>
      <w:proofErr w:type="gramStart"/>
      <w:r>
        <w:t xml:space="preserve">В случае если информация, указанная в Распоряжении, или его форма не соответствуют требованиям, установленным </w:t>
      </w:r>
      <w:hyperlink w:anchor="P53">
        <w:r>
          <w:rPr>
            <w:color w:val="0000FF"/>
          </w:rPr>
          <w:t>пунктами 3</w:t>
        </w:r>
      </w:hyperlink>
      <w:r>
        <w:t xml:space="preserve">, </w:t>
      </w:r>
      <w:hyperlink w:anchor="P56">
        <w:r>
          <w:rPr>
            <w:color w:val="0000FF"/>
          </w:rPr>
          <w:t>4</w:t>
        </w:r>
      </w:hyperlink>
      <w:r>
        <w:t xml:space="preserve">, </w:t>
      </w:r>
      <w:hyperlink w:anchor="P114">
        <w:r>
          <w:rPr>
            <w:color w:val="0000FF"/>
          </w:rPr>
          <w:t>подпунктами 1</w:t>
        </w:r>
      </w:hyperlink>
      <w:r>
        <w:t xml:space="preserve"> - </w:t>
      </w:r>
      <w:hyperlink w:anchor="P136">
        <w:r>
          <w:rPr>
            <w:color w:val="0000FF"/>
          </w:rPr>
          <w:t>13</w:t>
        </w:r>
      </w:hyperlink>
      <w:r>
        <w:t xml:space="preserve">, </w:t>
      </w:r>
      <w:hyperlink w:anchor="P145">
        <w:r>
          <w:rPr>
            <w:color w:val="0000FF"/>
          </w:rPr>
          <w:t>16</w:t>
        </w:r>
      </w:hyperlink>
      <w:r>
        <w:t xml:space="preserve"> - </w:t>
      </w:r>
      <w:hyperlink w:anchor="P153">
        <w:r>
          <w:rPr>
            <w:color w:val="0000FF"/>
          </w:rPr>
          <w:t>19 пункта 6</w:t>
        </w:r>
      </w:hyperlink>
      <w:r>
        <w:t xml:space="preserve">, </w:t>
      </w:r>
      <w:hyperlink w:anchor="P160">
        <w:r>
          <w:rPr>
            <w:color w:val="0000FF"/>
          </w:rPr>
          <w:t>пунктами 7</w:t>
        </w:r>
      </w:hyperlink>
      <w:r>
        <w:t xml:space="preserve">, </w:t>
      </w:r>
      <w:hyperlink w:anchor="P166">
        <w:r>
          <w:rPr>
            <w:color w:val="0000FF"/>
          </w:rPr>
          <w:t>10</w:t>
        </w:r>
      </w:hyperlink>
      <w:r>
        <w:t xml:space="preserve"> и </w:t>
      </w:r>
      <w:hyperlink w:anchor="P170">
        <w:r>
          <w:rPr>
            <w:color w:val="0000FF"/>
          </w:rPr>
          <w:t>11</w:t>
        </w:r>
      </w:hyperlink>
      <w:r>
        <w:t xml:space="preserve"> настоящего Порядка, или в случае установления нарушения получателем средств федерального бюджета условий, установленных </w:t>
      </w:r>
      <w:hyperlink w:anchor="P164">
        <w:r>
          <w:rPr>
            <w:color w:val="0000FF"/>
          </w:rPr>
          <w:t>пунктом 9</w:t>
        </w:r>
      </w:hyperlink>
      <w:r>
        <w:t xml:space="preserve"> настоящего Порядка, орган Федерального казначейства не позднее сроков, установленных </w:t>
      </w:r>
      <w:hyperlink w:anchor="P53">
        <w:r>
          <w:rPr>
            <w:color w:val="0000FF"/>
          </w:rPr>
          <w:t>пунктом 3</w:t>
        </w:r>
      </w:hyperlink>
      <w:r>
        <w:t xml:space="preserve"> настоящего Порядка, направляет получателю средств</w:t>
      </w:r>
      <w:proofErr w:type="gramEnd"/>
      <w:r>
        <w:t xml:space="preserve"> федерального бюджета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 &lt;10&gt;.</w:t>
      </w:r>
    </w:p>
    <w:p w:rsidR="00E10B76" w:rsidRDefault="00E10B76">
      <w:pPr>
        <w:pStyle w:val="ConsPlusNormal"/>
        <w:jc w:val="both"/>
      </w:pPr>
      <w:r>
        <w:t xml:space="preserve">(в ред. </w:t>
      </w:r>
      <w:hyperlink r:id="rId78">
        <w:r>
          <w:rPr>
            <w:color w:val="0000FF"/>
          </w:rPr>
          <w:t>Приказа</w:t>
        </w:r>
      </w:hyperlink>
      <w:r>
        <w:t xml:space="preserve"> Минфина России от 19.09.2022 N 140н)</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&lt;10&gt; </w:t>
      </w:r>
      <w:hyperlink r:id="rId79">
        <w:r>
          <w:rPr>
            <w:color w:val="0000FF"/>
          </w:rPr>
          <w:t>Пункт 5 статьи 242.7</w:t>
        </w:r>
      </w:hyperlink>
      <w:r>
        <w:t xml:space="preserve"> Бюджетного кодекса Российской Федерации (Собрание законодательства Российской Федерации, 1998, N 31, ст. 3823; 2019, N 52, ст. 7797).</w:t>
      </w:r>
    </w:p>
    <w:p w:rsidR="00E10B76" w:rsidRDefault="00E10B76">
      <w:pPr>
        <w:pStyle w:val="ConsPlusNormal"/>
        <w:jc w:val="both"/>
      </w:pPr>
    </w:p>
    <w:p w:rsidR="00E10B76" w:rsidRDefault="00E10B76">
      <w:pPr>
        <w:pStyle w:val="ConsPlusNormal"/>
        <w:ind w:firstLine="540"/>
        <w:jc w:val="both"/>
      </w:pPr>
      <w:proofErr w:type="gramStart"/>
      <w:r>
        <w:t xml:space="preserve">При установлении органом Федерального казначейства нарушений получателем средств федерального бюджета условий, установленных </w:t>
      </w:r>
      <w:hyperlink w:anchor="P143">
        <w:r>
          <w:rPr>
            <w:color w:val="0000FF"/>
          </w:rPr>
          <w:t>подпунктами 14</w:t>
        </w:r>
      </w:hyperlink>
      <w:r>
        <w:t xml:space="preserve"> и (или) </w:t>
      </w:r>
      <w:hyperlink w:anchor="P144">
        <w:r>
          <w:rPr>
            <w:color w:val="0000FF"/>
          </w:rPr>
          <w:t>15 пункта 6</w:t>
        </w:r>
      </w:hyperlink>
      <w:r>
        <w:t xml:space="preserve"> настоящего Порядка, орган Федерального казначейства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средств федерального бюджета путем направления Уведомления о нарушении установленных предельных размеров авансового платежа по</w:t>
      </w:r>
      <w:proofErr w:type="gramEnd"/>
      <w:r>
        <w:t xml:space="preserve"> </w:t>
      </w:r>
      <w:proofErr w:type="gramStart"/>
      <w:r>
        <w:t xml:space="preserve">форме согласно </w:t>
      </w:r>
      <w:hyperlink w:anchor="P213">
        <w:r>
          <w:rPr>
            <w:color w:val="0000FF"/>
          </w:rPr>
          <w:t>приложению N 1</w:t>
        </w:r>
      </w:hyperlink>
      <w:r>
        <w:t xml:space="preserve"> к настоящему Порядку &lt;11&gt; (код формы по КФД 0504713) и (или) Уведомления о нарушении сроков внесения и размеров арендной платы по форме согласно </w:t>
      </w:r>
      <w:hyperlink w:anchor="P357">
        <w:r>
          <w:rPr>
            <w:color w:val="0000FF"/>
          </w:rPr>
          <w:t>приложению N 2</w:t>
        </w:r>
      </w:hyperlink>
      <w:r>
        <w:t xml:space="preserve"> к настоящему Порядку &lt;11&gt; (код формы по КФД 0504714), а также обеспечивает доведение указанной информации до главного распорядителя (распорядителя) средств федерального бюджета, в ведении которого находится допустивший нарушение получатель</w:t>
      </w:r>
      <w:proofErr w:type="gramEnd"/>
      <w:r>
        <w:t xml:space="preserve"> средств федерального бюджета, не позднее десяти рабочих дней после отражения операций, вызвавших указанные нарушения, на соответствующем лицевом счете.</w:t>
      </w:r>
    </w:p>
    <w:p w:rsidR="00E10B76" w:rsidRDefault="00E10B76">
      <w:pPr>
        <w:pStyle w:val="ConsPlusNormal"/>
        <w:spacing w:before="220"/>
        <w:ind w:firstLine="540"/>
        <w:jc w:val="both"/>
      </w:pPr>
      <w:r>
        <w:t>--------------------------------</w:t>
      </w:r>
    </w:p>
    <w:p w:rsidR="00E10B76" w:rsidRDefault="00E10B76">
      <w:pPr>
        <w:pStyle w:val="ConsPlusNormal"/>
        <w:spacing w:before="220"/>
        <w:ind w:firstLine="540"/>
        <w:jc w:val="both"/>
      </w:pPr>
      <w:r>
        <w:t xml:space="preserve">&lt;11&gt; </w:t>
      </w:r>
      <w:hyperlink r:id="rId80">
        <w:r>
          <w:rPr>
            <w:color w:val="0000FF"/>
          </w:rPr>
          <w:t>Абзац сорок шестой статьи 165</w:t>
        </w:r>
      </w:hyperlink>
      <w:r>
        <w:t xml:space="preserve"> Бюджетного кодекса Российской Федерации (Собрание законодательства Российской Федерации, 1998, N 31, ст. 3823; 2019, N 52, ст. 7797).</w:t>
      </w:r>
    </w:p>
    <w:p w:rsidR="00E10B76" w:rsidRDefault="00E10B76">
      <w:pPr>
        <w:pStyle w:val="ConsPlusNormal"/>
        <w:jc w:val="both"/>
      </w:pPr>
    </w:p>
    <w:p w:rsidR="00E10B76" w:rsidRDefault="00E10B76">
      <w:pPr>
        <w:pStyle w:val="ConsPlusNormal"/>
        <w:ind w:firstLine="540"/>
        <w:jc w:val="both"/>
      </w:pPr>
      <w:r>
        <w:t xml:space="preserve">При санкционировании оплаты денежных обязательств в соответствии с </w:t>
      </w:r>
      <w:hyperlink w:anchor="P174">
        <w:r>
          <w:rPr>
            <w:color w:val="0000FF"/>
          </w:rPr>
          <w:t>пунктом 11.1</w:t>
        </w:r>
      </w:hyperlink>
      <w:r>
        <w:t xml:space="preserve"> настоящего Порядка, уведомления, предусмотренные </w:t>
      </w:r>
      <w:hyperlink w:anchor="P182">
        <w:r>
          <w:rPr>
            <w:color w:val="0000FF"/>
          </w:rPr>
          <w:t>абзацем первым</w:t>
        </w:r>
      </w:hyperlink>
      <w:r>
        <w:t xml:space="preserve"> настоящего пункта, направляются получателю средств федерального бюджета с использованием единой информационной системы в сфере закупок.</w:t>
      </w:r>
    </w:p>
    <w:p w:rsidR="00E10B76" w:rsidRDefault="00E10B76">
      <w:pPr>
        <w:pStyle w:val="ConsPlusNormal"/>
        <w:jc w:val="both"/>
      </w:pPr>
      <w:r>
        <w:t xml:space="preserve">(абзац введен </w:t>
      </w:r>
      <w:hyperlink r:id="rId81">
        <w:r>
          <w:rPr>
            <w:color w:val="0000FF"/>
          </w:rPr>
          <w:t>Приказом</w:t>
        </w:r>
      </w:hyperlink>
      <w:r>
        <w:t xml:space="preserve"> Минфина России от 19.09.2022 N 140н)</w:t>
      </w:r>
    </w:p>
    <w:p w:rsidR="00E10B76" w:rsidRDefault="00E10B76">
      <w:pPr>
        <w:pStyle w:val="ConsPlusNormal"/>
        <w:spacing w:before="220"/>
        <w:ind w:firstLine="540"/>
        <w:jc w:val="both"/>
      </w:pPr>
      <w:r>
        <w:t xml:space="preserve">13. </w:t>
      </w:r>
      <w:proofErr w:type="gramStart"/>
      <w:r>
        <w:t xml:space="preserve">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органом Федерального казначейства проставляется отметка, подтверждающая санкционирование оплаты денежных обязательств получателя средств федерального бюджета (администратора источников финансирования дефицита федерального бюджета) с указанием даты, подписи, расшифровки подписи, содержащей фамилию, </w:t>
      </w:r>
      <w:r>
        <w:lastRenderedPageBreak/>
        <w:t>инициалы ответственного исполнителя органа Федерального казначейства, и Распоряжение принимается к исполнению.</w:t>
      </w:r>
      <w:proofErr w:type="gramEnd"/>
    </w:p>
    <w:p w:rsidR="00E10B76" w:rsidRDefault="00E10B76">
      <w:pPr>
        <w:pStyle w:val="ConsPlusNormal"/>
        <w:spacing w:before="220"/>
        <w:ind w:firstLine="540"/>
        <w:jc w:val="both"/>
      </w:pPr>
      <w:r>
        <w:t>14. Представление и хранение Распоряжения для санкционирования оплаты денежных обязательств получателей средств федерального бюджета (администраторов источников финансирования дефицита федерального бюджета), содержащего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p w:rsidR="00E10B76" w:rsidRDefault="00E10B76">
      <w:pPr>
        <w:pStyle w:val="ConsPlusNormal"/>
        <w:jc w:val="both"/>
      </w:pPr>
    </w:p>
    <w:p w:rsidR="00E10B76" w:rsidRDefault="00E10B76">
      <w:pPr>
        <w:pStyle w:val="ConsPlusNormal"/>
        <w:jc w:val="both"/>
      </w:pPr>
    </w:p>
    <w:p w:rsidR="00E10B76" w:rsidRDefault="00E10B76">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52513E" w:rsidRDefault="0052513E">
      <w:pPr>
        <w:pStyle w:val="ConsPlusNormal"/>
        <w:jc w:val="both"/>
      </w:pPr>
    </w:p>
    <w:p w:rsidR="00E10B76" w:rsidRDefault="00E10B76">
      <w:pPr>
        <w:pStyle w:val="ConsPlusNormal"/>
        <w:jc w:val="right"/>
        <w:outlineLvl w:val="1"/>
      </w:pPr>
      <w:r>
        <w:lastRenderedPageBreak/>
        <w:t>Приложение N 1</w:t>
      </w:r>
    </w:p>
    <w:p w:rsidR="00E10B76" w:rsidRDefault="00E10B7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0B76">
        <w:tc>
          <w:tcPr>
            <w:tcW w:w="9071" w:type="dxa"/>
            <w:tcBorders>
              <w:top w:val="nil"/>
              <w:left w:val="nil"/>
              <w:bottom w:val="nil"/>
              <w:right w:val="nil"/>
            </w:tcBorders>
          </w:tcPr>
          <w:p w:rsidR="00E10B76" w:rsidRDefault="00E10B76">
            <w:pPr>
              <w:pStyle w:val="ConsPlusNormal"/>
              <w:jc w:val="center"/>
            </w:pPr>
            <w:bookmarkStart w:id="30" w:name="P213"/>
            <w:bookmarkEnd w:id="30"/>
            <w:r>
              <w:t>УВЕДОМЛЕНИЕ N _____</w:t>
            </w:r>
          </w:p>
          <w:p w:rsidR="00E10B76" w:rsidRDefault="00E10B76">
            <w:pPr>
              <w:pStyle w:val="ConsPlusNormal"/>
              <w:jc w:val="center"/>
            </w:pPr>
            <w:r>
              <w:t>о нарушении установленных предельных размеров авансового платежа</w:t>
            </w:r>
          </w:p>
        </w:tc>
      </w:tr>
    </w:tbl>
    <w:p w:rsidR="00E10B76" w:rsidRDefault="00E10B7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40"/>
        <w:gridCol w:w="2324"/>
        <w:gridCol w:w="340"/>
        <w:gridCol w:w="1928"/>
        <w:gridCol w:w="1020"/>
      </w:tblGrid>
      <w:tr w:rsidR="00E10B76">
        <w:tc>
          <w:tcPr>
            <w:tcW w:w="5725" w:type="dxa"/>
            <w:gridSpan w:val="3"/>
            <w:vMerge w:val="restart"/>
            <w:tcBorders>
              <w:top w:val="nil"/>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tcPr>
          <w:p w:rsidR="00E10B76" w:rsidRDefault="00E10B76">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E10B76" w:rsidRDefault="00E10B76">
            <w:pPr>
              <w:pStyle w:val="ConsPlusNormal"/>
              <w:jc w:val="center"/>
            </w:pPr>
            <w:r>
              <w:t>Коды</w:t>
            </w:r>
          </w:p>
        </w:tc>
      </w:tr>
      <w:tr w:rsidR="00E10B76">
        <w:tc>
          <w:tcPr>
            <w:tcW w:w="5725" w:type="dxa"/>
            <w:gridSpan w:val="3"/>
            <w:vMerge/>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jc w:val="center"/>
            </w:pPr>
            <w:r>
              <w:t>0504713</w:t>
            </w:r>
          </w:p>
        </w:tc>
      </w:tr>
      <w:tr w:rsidR="00E10B76">
        <w:tc>
          <w:tcPr>
            <w:tcW w:w="3061"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2324" w:type="dxa"/>
            <w:tcBorders>
              <w:top w:val="nil"/>
              <w:left w:val="nil"/>
              <w:bottom w:val="nil"/>
              <w:right w:val="nil"/>
            </w:tcBorders>
            <w:vAlign w:val="bottom"/>
          </w:tcPr>
          <w:p w:rsidR="00E10B76" w:rsidRDefault="00E10B76">
            <w:pPr>
              <w:pStyle w:val="ConsPlusNormal"/>
              <w:jc w:val="center"/>
            </w:pPr>
            <w:r>
              <w:t>от "__" _____ 20__ г.</w:t>
            </w: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Наименование органа Федерального казначейства</w:t>
            </w:r>
          </w:p>
        </w:tc>
        <w:tc>
          <w:tcPr>
            <w:tcW w:w="340" w:type="dxa"/>
            <w:tcBorders>
              <w:top w:val="nil"/>
              <w:left w:val="nil"/>
              <w:bottom w:val="nil"/>
              <w:right w:val="nil"/>
            </w:tcBorders>
          </w:tcPr>
          <w:p w:rsidR="00E10B76" w:rsidRDefault="00E10B76">
            <w:pPr>
              <w:pStyle w:val="ConsPlusNormal"/>
            </w:pPr>
          </w:p>
        </w:tc>
        <w:tc>
          <w:tcPr>
            <w:tcW w:w="2324" w:type="dxa"/>
            <w:tcBorders>
              <w:top w:val="nil"/>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vMerge w:val="restart"/>
            <w:tcBorders>
              <w:top w:val="nil"/>
              <w:left w:val="nil"/>
              <w:bottom w:val="nil"/>
              <w:right w:val="nil"/>
            </w:tcBorders>
          </w:tcPr>
          <w:p w:rsidR="00E10B76" w:rsidRDefault="00E10B76">
            <w:pPr>
              <w:pStyle w:val="ConsPlusNormal"/>
            </w:pPr>
            <w:r>
              <w:t>Главный распорядитель (распорядитель) бюджетных средств</w:t>
            </w:r>
          </w:p>
        </w:tc>
        <w:tc>
          <w:tcPr>
            <w:tcW w:w="340" w:type="dxa"/>
            <w:vMerge w:val="restart"/>
            <w:tcBorders>
              <w:top w:val="nil"/>
              <w:left w:val="nil"/>
              <w:bottom w:val="nil"/>
              <w:right w:val="nil"/>
            </w:tcBorders>
          </w:tcPr>
          <w:p w:rsidR="00E10B76" w:rsidRDefault="00E10B76">
            <w:pPr>
              <w:pStyle w:val="ConsPlusNormal"/>
            </w:pPr>
          </w:p>
        </w:tc>
        <w:tc>
          <w:tcPr>
            <w:tcW w:w="2324" w:type="dxa"/>
            <w:tcBorders>
              <w:top w:val="single" w:sz="4" w:space="0" w:color="auto"/>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vMerge/>
            <w:tcBorders>
              <w:top w:val="nil"/>
              <w:left w:val="nil"/>
              <w:bottom w:val="nil"/>
              <w:right w:val="nil"/>
            </w:tcBorders>
          </w:tcPr>
          <w:p w:rsidR="00E10B76" w:rsidRDefault="00E10B76">
            <w:pPr>
              <w:pStyle w:val="ConsPlusNormal"/>
            </w:pPr>
          </w:p>
        </w:tc>
        <w:tc>
          <w:tcPr>
            <w:tcW w:w="340" w:type="dxa"/>
            <w:vMerge/>
            <w:tcBorders>
              <w:top w:val="nil"/>
              <w:left w:val="nil"/>
              <w:bottom w:val="nil"/>
              <w:right w:val="nil"/>
            </w:tcBorders>
          </w:tcPr>
          <w:p w:rsidR="00E10B76" w:rsidRDefault="00E10B76">
            <w:pPr>
              <w:pStyle w:val="ConsPlusNormal"/>
            </w:pPr>
          </w:p>
        </w:tc>
        <w:tc>
          <w:tcPr>
            <w:tcW w:w="2324" w:type="dxa"/>
            <w:tcBorders>
              <w:top w:val="nil"/>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Получатель бюджетных средств</w:t>
            </w: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Номер лицевого счета получателя</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Наименование бюджета</w:t>
            </w:r>
          </w:p>
        </w:tc>
        <w:tc>
          <w:tcPr>
            <w:tcW w:w="340" w:type="dxa"/>
            <w:tcBorders>
              <w:top w:val="nil"/>
              <w:left w:val="nil"/>
              <w:bottom w:val="nil"/>
              <w:right w:val="nil"/>
            </w:tcBorders>
          </w:tcPr>
          <w:p w:rsidR="00E10B76" w:rsidRDefault="00E10B76">
            <w:pPr>
              <w:pStyle w:val="ConsPlusNormal"/>
            </w:pPr>
          </w:p>
        </w:tc>
        <w:tc>
          <w:tcPr>
            <w:tcW w:w="2324" w:type="dxa"/>
            <w:tcBorders>
              <w:top w:val="nil"/>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Финансовый орган</w:t>
            </w: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Учетный номер обязательства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5725" w:type="dxa"/>
            <w:gridSpan w:val="3"/>
            <w:tcBorders>
              <w:top w:val="nil"/>
              <w:left w:val="nil"/>
              <w:bottom w:val="nil"/>
              <w:right w:val="nil"/>
            </w:tcBorders>
          </w:tcPr>
          <w:p w:rsidR="00E10B76" w:rsidRDefault="00E10B76">
            <w:pPr>
              <w:pStyle w:val="ConsPlusNormal"/>
            </w:pPr>
            <w:r>
              <w:t>Единица измерения: руб. (с точностью до второго десятичного знака)</w:t>
            </w: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jc w:val="center"/>
            </w:pPr>
            <w:hyperlink r:id="rId82">
              <w:r>
                <w:rPr>
                  <w:color w:val="0000FF"/>
                </w:rPr>
                <w:t>383</w:t>
              </w:r>
            </w:hyperlink>
          </w:p>
        </w:tc>
      </w:tr>
    </w:tbl>
    <w:p w:rsidR="00E10B76" w:rsidRDefault="00E10B7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567"/>
        <w:gridCol w:w="567"/>
        <w:gridCol w:w="1020"/>
        <w:gridCol w:w="567"/>
        <w:gridCol w:w="624"/>
        <w:gridCol w:w="1701"/>
        <w:gridCol w:w="2154"/>
        <w:gridCol w:w="1531"/>
        <w:gridCol w:w="737"/>
      </w:tblGrid>
      <w:tr w:rsidR="00E10B76">
        <w:tc>
          <w:tcPr>
            <w:tcW w:w="3855" w:type="dxa"/>
            <w:gridSpan w:val="6"/>
            <w:tcBorders>
              <w:left w:val="nil"/>
            </w:tcBorders>
          </w:tcPr>
          <w:p w:rsidR="00E10B76" w:rsidRDefault="00E10B76">
            <w:pPr>
              <w:pStyle w:val="ConsPlusNormal"/>
              <w:jc w:val="center"/>
            </w:pPr>
            <w:r>
              <w:t>Государственный контракт (договор)</w:t>
            </w:r>
          </w:p>
        </w:tc>
        <w:tc>
          <w:tcPr>
            <w:tcW w:w="1701" w:type="dxa"/>
            <w:vMerge w:val="restart"/>
          </w:tcPr>
          <w:p w:rsidR="00E10B76" w:rsidRDefault="00E10B76">
            <w:pPr>
              <w:pStyle w:val="ConsPlusNormal"/>
              <w:jc w:val="center"/>
            </w:pPr>
            <w:r>
              <w:t>Предельный размер авансового платежа, установленный законодательством Российской Федерации для данного вида государственного контракта (договора), %</w:t>
            </w:r>
          </w:p>
        </w:tc>
        <w:tc>
          <w:tcPr>
            <w:tcW w:w="2154" w:type="dxa"/>
            <w:vMerge w:val="restart"/>
          </w:tcPr>
          <w:p w:rsidR="00E10B76" w:rsidRDefault="00E10B76">
            <w:pPr>
              <w:pStyle w:val="ConsPlusNormal"/>
              <w:jc w:val="center"/>
            </w:pPr>
            <w:r>
              <w:t>Сумма превышения размера авансового платежа, предусмотренного государственным контрактом (договором), предельного размера авансового платежа, установленного законодательством Российской Федерации</w:t>
            </w:r>
          </w:p>
        </w:tc>
        <w:tc>
          <w:tcPr>
            <w:tcW w:w="1531" w:type="dxa"/>
            <w:vMerge w:val="restart"/>
          </w:tcPr>
          <w:p w:rsidR="00E10B76" w:rsidRDefault="00E10B76">
            <w:pPr>
              <w:pStyle w:val="ConsPlusNormal"/>
              <w:jc w:val="center"/>
            </w:pPr>
            <w:r>
              <w:t>Фактическая сумма превышения предельного размера авансового платежа, установленного законодательством Российской Федерации</w:t>
            </w:r>
          </w:p>
        </w:tc>
        <w:tc>
          <w:tcPr>
            <w:tcW w:w="737" w:type="dxa"/>
            <w:vMerge w:val="restart"/>
            <w:tcBorders>
              <w:right w:val="nil"/>
            </w:tcBorders>
          </w:tcPr>
          <w:p w:rsidR="00E10B76" w:rsidRDefault="00E10B76">
            <w:pPr>
              <w:pStyle w:val="ConsPlusNormal"/>
              <w:jc w:val="center"/>
            </w:pPr>
            <w:r>
              <w:t>Примечание</w:t>
            </w:r>
          </w:p>
        </w:tc>
      </w:tr>
      <w:tr w:rsidR="00E10B76">
        <w:tc>
          <w:tcPr>
            <w:tcW w:w="510" w:type="dxa"/>
            <w:vMerge w:val="restart"/>
            <w:tcBorders>
              <w:left w:val="nil"/>
            </w:tcBorders>
          </w:tcPr>
          <w:p w:rsidR="00E10B76" w:rsidRDefault="00E10B76">
            <w:pPr>
              <w:pStyle w:val="ConsPlusNormal"/>
              <w:jc w:val="center"/>
            </w:pPr>
            <w:r>
              <w:t>номер</w:t>
            </w:r>
          </w:p>
        </w:tc>
        <w:tc>
          <w:tcPr>
            <w:tcW w:w="567" w:type="dxa"/>
            <w:vMerge w:val="restart"/>
          </w:tcPr>
          <w:p w:rsidR="00E10B76" w:rsidRDefault="00E10B76">
            <w:pPr>
              <w:pStyle w:val="ConsPlusNormal"/>
              <w:jc w:val="center"/>
            </w:pPr>
            <w:r>
              <w:t>дата</w:t>
            </w:r>
          </w:p>
        </w:tc>
        <w:tc>
          <w:tcPr>
            <w:tcW w:w="567" w:type="dxa"/>
            <w:vMerge w:val="restart"/>
          </w:tcPr>
          <w:p w:rsidR="00E10B76" w:rsidRDefault="00E10B76">
            <w:pPr>
              <w:pStyle w:val="ConsPlusNormal"/>
              <w:jc w:val="center"/>
            </w:pPr>
            <w:r>
              <w:t>сумма</w:t>
            </w:r>
          </w:p>
        </w:tc>
        <w:tc>
          <w:tcPr>
            <w:tcW w:w="1587" w:type="dxa"/>
            <w:gridSpan w:val="2"/>
          </w:tcPr>
          <w:p w:rsidR="00E10B76" w:rsidRDefault="00E10B76">
            <w:pPr>
              <w:pStyle w:val="ConsPlusNormal"/>
              <w:jc w:val="center"/>
            </w:pPr>
            <w:r>
              <w:t>авансовый платеж</w:t>
            </w:r>
          </w:p>
        </w:tc>
        <w:tc>
          <w:tcPr>
            <w:tcW w:w="624" w:type="dxa"/>
            <w:vMerge w:val="restart"/>
          </w:tcPr>
          <w:p w:rsidR="00E10B76" w:rsidRDefault="00E10B76">
            <w:pPr>
              <w:pStyle w:val="ConsPlusNormal"/>
              <w:jc w:val="center"/>
            </w:pPr>
            <w:r>
              <w:t>предмет</w:t>
            </w:r>
          </w:p>
        </w:tc>
        <w:tc>
          <w:tcPr>
            <w:tcW w:w="1701" w:type="dxa"/>
            <w:vMerge/>
          </w:tcPr>
          <w:p w:rsidR="00E10B76" w:rsidRDefault="00E10B76">
            <w:pPr>
              <w:pStyle w:val="ConsPlusNormal"/>
            </w:pPr>
          </w:p>
        </w:tc>
        <w:tc>
          <w:tcPr>
            <w:tcW w:w="2154" w:type="dxa"/>
            <w:vMerge/>
          </w:tcPr>
          <w:p w:rsidR="00E10B76" w:rsidRDefault="00E10B76">
            <w:pPr>
              <w:pStyle w:val="ConsPlusNormal"/>
            </w:pPr>
          </w:p>
        </w:tc>
        <w:tc>
          <w:tcPr>
            <w:tcW w:w="1531" w:type="dxa"/>
            <w:vMerge/>
          </w:tcPr>
          <w:p w:rsidR="00E10B76" w:rsidRDefault="00E10B76">
            <w:pPr>
              <w:pStyle w:val="ConsPlusNormal"/>
            </w:pPr>
          </w:p>
        </w:tc>
        <w:tc>
          <w:tcPr>
            <w:tcW w:w="737" w:type="dxa"/>
            <w:vMerge/>
            <w:tcBorders>
              <w:right w:val="nil"/>
            </w:tcBorders>
          </w:tcPr>
          <w:p w:rsidR="00E10B76" w:rsidRDefault="00E10B76">
            <w:pPr>
              <w:pStyle w:val="ConsPlusNormal"/>
            </w:pPr>
          </w:p>
        </w:tc>
      </w:tr>
      <w:tr w:rsidR="00E10B76">
        <w:tblPrEx>
          <w:tblBorders>
            <w:left w:val="single" w:sz="4" w:space="0" w:color="auto"/>
          </w:tblBorders>
        </w:tblPrEx>
        <w:tc>
          <w:tcPr>
            <w:tcW w:w="510" w:type="dxa"/>
            <w:vMerge/>
            <w:tcBorders>
              <w:left w:val="nil"/>
            </w:tcBorders>
          </w:tcPr>
          <w:p w:rsidR="00E10B76" w:rsidRDefault="00E10B76">
            <w:pPr>
              <w:pStyle w:val="ConsPlusNormal"/>
            </w:pPr>
          </w:p>
        </w:tc>
        <w:tc>
          <w:tcPr>
            <w:tcW w:w="567" w:type="dxa"/>
            <w:vMerge/>
          </w:tcPr>
          <w:p w:rsidR="00E10B76" w:rsidRDefault="00E10B76">
            <w:pPr>
              <w:pStyle w:val="ConsPlusNormal"/>
            </w:pPr>
          </w:p>
        </w:tc>
        <w:tc>
          <w:tcPr>
            <w:tcW w:w="567" w:type="dxa"/>
            <w:vMerge/>
          </w:tcPr>
          <w:p w:rsidR="00E10B76" w:rsidRDefault="00E10B76">
            <w:pPr>
              <w:pStyle w:val="ConsPlusNormal"/>
            </w:pPr>
          </w:p>
        </w:tc>
        <w:tc>
          <w:tcPr>
            <w:tcW w:w="1020" w:type="dxa"/>
          </w:tcPr>
          <w:p w:rsidR="00E10B76" w:rsidRDefault="00E10B76">
            <w:pPr>
              <w:pStyle w:val="ConsPlusNormal"/>
              <w:jc w:val="center"/>
            </w:pPr>
            <w:r>
              <w:t>процент от общей суммы</w:t>
            </w:r>
          </w:p>
        </w:tc>
        <w:tc>
          <w:tcPr>
            <w:tcW w:w="567" w:type="dxa"/>
          </w:tcPr>
          <w:p w:rsidR="00E10B76" w:rsidRDefault="00E10B76">
            <w:pPr>
              <w:pStyle w:val="ConsPlusNormal"/>
              <w:jc w:val="center"/>
            </w:pPr>
            <w:r>
              <w:t>сумма</w:t>
            </w:r>
          </w:p>
        </w:tc>
        <w:tc>
          <w:tcPr>
            <w:tcW w:w="624" w:type="dxa"/>
            <w:vMerge/>
          </w:tcPr>
          <w:p w:rsidR="00E10B76" w:rsidRDefault="00E10B76">
            <w:pPr>
              <w:pStyle w:val="ConsPlusNormal"/>
            </w:pPr>
          </w:p>
        </w:tc>
        <w:tc>
          <w:tcPr>
            <w:tcW w:w="1701" w:type="dxa"/>
            <w:vMerge/>
          </w:tcPr>
          <w:p w:rsidR="00E10B76" w:rsidRDefault="00E10B76">
            <w:pPr>
              <w:pStyle w:val="ConsPlusNormal"/>
            </w:pPr>
          </w:p>
        </w:tc>
        <w:tc>
          <w:tcPr>
            <w:tcW w:w="2154" w:type="dxa"/>
            <w:vMerge/>
          </w:tcPr>
          <w:p w:rsidR="00E10B76" w:rsidRDefault="00E10B76">
            <w:pPr>
              <w:pStyle w:val="ConsPlusNormal"/>
            </w:pPr>
          </w:p>
        </w:tc>
        <w:tc>
          <w:tcPr>
            <w:tcW w:w="1531" w:type="dxa"/>
            <w:vMerge/>
          </w:tcPr>
          <w:p w:rsidR="00E10B76" w:rsidRDefault="00E10B76">
            <w:pPr>
              <w:pStyle w:val="ConsPlusNormal"/>
            </w:pPr>
          </w:p>
        </w:tc>
        <w:tc>
          <w:tcPr>
            <w:tcW w:w="737" w:type="dxa"/>
            <w:vMerge/>
            <w:tcBorders>
              <w:right w:val="nil"/>
            </w:tcBorders>
          </w:tcPr>
          <w:p w:rsidR="00E10B76" w:rsidRDefault="00E10B76">
            <w:pPr>
              <w:pStyle w:val="ConsPlusNormal"/>
            </w:pPr>
          </w:p>
        </w:tc>
      </w:tr>
      <w:tr w:rsidR="00E10B76">
        <w:tc>
          <w:tcPr>
            <w:tcW w:w="510" w:type="dxa"/>
            <w:tcBorders>
              <w:left w:val="nil"/>
            </w:tcBorders>
          </w:tcPr>
          <w:p w:rsidR="00E10B76" w:rsidRDefault="00E10B76">
            <w:pPr>
              <w:pStyle w:val="ConsPlusNormal"/>
              <w:jc w:val="center"/>
            </w:pPr>
            <w:r>
              <w:t>1</w:t>
            </w:r>
          </w:p>
        </w:tc>
        <w:tc>
          <w:tcPr>
            <w:tcW w:w="567" w:type="dxa"/>
          </w:tcPr>
          <w:p w:rsidR="00E10B76" w:rsidRDefault="00E10B76">
            <w:pPr>
              <w:pStyle w:val="ConsPlusNormal"/>
              <w:jc w:val="center"/>
            </w:pPr>
            <w:r>
              <w:t>2</w:t>
            </w:r>
          </w:p>
        </w:tc>
        <w:tc>
          <w:tcPr>
            <w:tcW w:w="567" w:type="dxa"/>
          </w:tcPr>
          <w:p w:rsidR="00E10B76" w:rsidRDefault="00E10B76">
            <w:pPr>
              <w:pStyle w:val="ConsPlusNormal"/>
              <w:jc w:val="center"/>
            </w:pPr>
            <w:r>
              <w:t>3</w:t>
            </w:r>
          </w:p>
        </w:tc>
        <w:tc>
          <w:tcPr>
            <w:tcW w:w="1020" w:type="dxa"/>
          </w:tcPr>
          <w:p w:rsidR="00E10B76" w:rsidRDefault="00E10B76">
            <w:pPr>
              <w:pStyle w:val="ConsPlusNormal"/>
              <w:jc w:val="center"/>
            </w:pPr>
            <w:r>
              <w:t>4</w:t>
            </w:r>
          </w:p>
        </w:tc>
        <w:tc>
          <w:tcPr>
            <w:tcW w:w="567" w:type="dxa"/>
          </w:tcPr>
          <w:p w:rsidR="00E10B76" w:rsidRDefault="00E10B76">
            <w:pPr>
              <w:pStyle w:val="ConsPlusNormal"/>
              <w:jc w:val="center"/>
            </w:pPr>
            <w:r>
              <w:t>5</w:t>
            </w:r>
          </w:p>
        </w:tc>
        <w:tc>
          <w:tcPr>
            <w:tcW w:w="624" w:type="dxa"/>
          </w:tcPr>
          <w:p w:rsidR="00E10B76" w:rsidRDefault="00E10B76">
            <w:pPr>
              <w:pStyle w:val="ConsPlusNormal"/>
              <w:jc w:val="center"/>
            </w:pPr>
            <w:r>
              <w:t>6</w:t>
            </w:r>
          </w:p>
        </w:tc>
        <w:tc>
          <w:tcPr>
            <w:tcW w:w="1701" w:type="dxa"/>
          </w:tcPr>
          <w:p w:rsidR="00E10B76" w:rsidRDefault="00E10B76">
            <w:pPr>
              <w:pStyle w:val="ConsPlusNormal"/>
              <w:jc w:val="center"/>
            </w:pPr>
            <w:r>
              <w:t>8</w:t>
            </w:r>
          </w:p>
        </w:tc>
        <w:tc>
          <w:tcPr>
            <w:tcW w:w="2154" w:type="dxa"/>
          </w:tcPr>
          <w:p w:rsidR="00E10B76" w:rsidRDefault="00E10B76">
            <w:pPr>
              <w:pStyle w:val="ConsPlusNormal"/>
              <w:jc w:val="center"/>
            </w:pPr>
            <w:r>
              <w:t>9</w:t>
            </w:r>
          </w:p>
        </w:tc>
        <w:tc>
          <w:tcPr>
            <w:tcW w:w="1531" w:type="dxa"/>
          </w:tcPr>
          <w:p w:rsidR="00E10B76" w:rsidRDefault="00E10B76">
            <w:pPr>
              <w:pStyle w:val="ConsPlusNormal"/>
              <w:jc w:val="center"/>
            </w:pPr>
            <w:r>
              <w:t>10</w:t>
            </w:r>
          </w:p>
        </w:tc>
        <w:tc>
          <w:tcPr>
            <w:tcW w:w="737" w:type="dxa"/>
            <w:tcBorders>
              <w:right w:val="nil"/>
            </w:tcBorders>
          </w:tcPr>
          <w:p w:rsidR="00E10B76" w:rsidRDefault="00E10B76">
            <w:pPr>
              <w:pStyle w:val="ConsPlusNormal"/>
              <w:jc w:val="center"/>
            </w:pPr>
            <w:r>
              <w:t>11</w:t>
            </w:r>
          </w:p>
        </w:tc>
      </w:tr>
      <w:tr w:rsidR="00E10B76">
        <w:tblPrEx>
          <w:tblBorders>
            <w:left w:val="single" w:sz="4" w:space="0" w:color="auto"/>
          </w:tblBorders>
        </w:tblPrEx>
        <w:tc>
          <w:tcPr>
            <w:tcW w:w="510" w:type="dxa"/>
          </w:tcPr>
          <w:p w:rsidR="00E10B76" w:rsidRDefault="00E10B76">
            <w:pPr>
              <w:pStyle w:val="ConsPlusNormal"/>
            </w:pPr>
          </w:p>
        </w:tc>
        <w:tc>
          <w:tcPr>
            <w:tcW w:w="567" w:type="dxa"/>
          </w:tcPr>
          <w:p w:rsidR="00E10B76" w:rsidRDefault="00E10B76">
            <w:pPr>
              <w:pStyle w:val="ConsPlusNormal"/>
            </w:pPr>
          </w:p>
        </w:tc>
        <w:tc>
          <w:tcPr>
            <w:tcW w:w="567" w:type="dxa"/>
          </w:tcPr>
          <w:p w:rsidR="00E10B76" w:rsidRDefault="00E10B76">
            <w:pPr>
              <w:pStyle w:val="ConsPlusNormal"/>
            </w:pPr>
          </w:p>
        </w:tc>
        <w:tc>
          <w:tcPr>
            <w:tcW w:w="1020" w:type="dxa"/>
          </w:tcPr>
          <w:p w:rsidR="00E10B76" w:rsidRDefault="00E10B76">
            <w:pPr>
              <w:pStyle w:val="ConsPlusNormal"/>
            </w:pPr>
          </w:p>
        </w:tc>
        <w:tc>
          <w:tcPr>
            <w:tcW w:w="567" w:type="dxa"/>
          </w:tcPr>
          <w:p w:rsidR="00E10B76" w:rsidRDefault="00E10B76">
            <w:pPr>
              <w:pStyle w:val="ConsPlusNormal"/>
            </w:pPr>
          </w:p>
        </w:tc>
        <w:tc>
          <w:tcPr>
            <w:tcW w:w="624" w:type="dxa"/>
          </w:tcPr>
          <w:p w:rsidR="00E10B76" w:rsidRDefault="00E10B76">
            <w:pPr>
              <w:pStyle w:val="ConsPlusNormal"/>
            </w:pPr>
          </w:p>
        </w:tc>
        <w:tc>
          <w:tcPr>
            <w:tcW w:w="1701" w:type="dxa"/>
          </w:tcPr>
          <w:p w:rsidR="00E10B76" w:rsidRDefault="00E10B76">
            <w:pPr>
              <w:pStyle w:val="ConsPlusNormal"/>
            </w:pPr>
          </w:p>
        </w:tc>
        <w:tc>
          <w:tcPr>
            <w:tcW w:w="2154" w:type="dxa"/>
          </w:tcPr>
          <w:p w:rsidR="00E10B76" w:rsidRDefault="00E10B76">
            <w:pPr>
              <w:pStyle w:val="ConsPlusNormal"/>
            </w:pPr>
          </w:p>
        </w:tc>
        <w:tc>
          <w:tcPr>
            <w:tcW w:w="1531" w:type="dxa"/>
          </w:tcPr>
          <w:p w:rsidR="00E10B76" w:rsidRDefault="00E10B76">
            <w:pPr>
              <w:pStyle w:val="ConsPlusNormal"/>
            </w:pPr>
          </w:p>
        </w:tc>
        <w:tc>
          <w:tcPr>
            <w:tcW w:w="737" w:type="dxa"/>
            <w:tcBorders>
              <w:right w:val="nil"/>
            </w:tcBorders>
          </w:tcPr>
          <w:p w:rsidR="00E10B76" w:rsidRDefault="00E10B76">
            <w:pPr>
              <w:pStyle w:val="ConsPlusNormal"/>
            </w:pPr>
          </w:p>
        </w:tc>
      </w:tr>
    </w:tbl>
    <w:p w:rsidR="00E10B76" w:rsidRDefault="00E10B7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680"/>
      </w:tblGrid>
      <w:tr w:rsidR="00E10B76">
        <w:tc>
          <w:tcPr>
            <w:tcW w:w="8334" w:type="dxa"/>
            <w:tcBorders>
              <w:top w:val="nil"/>
              <w:left w:val="nil"/>
              <w:bottom w:val="nil"/>
              <w:right w:val="nil"/>
            </w:tcBorders>
            <w:vAlign w:val="bottom"/>
          </w:tcPr>
          <w:p w:rsidR="00E10B76" w:rsidRDefault="00E10B76">
            <w:pPr>
              <w:pStyle w:val="ConsPlusNormal"/>
              <w:jc w:val="right"/>
            </w:pPr>
            <w:r>
              <w:t>Номер страницы</w:t>
            </w:r>
          </w:p>
        </w:tc>
        <w:tc>
          <w:tcPr>
            <w:tcW w:w="680" w:type="dxa"/>
            <w:tcBorders>
              <w:top w:val="nil"/>
              <w:left w:val="nil"/>
              <w:bottom w:val="single" w:sz="4" w:space="0" w:color="auto"/>
              <w:right w:val="nil"/>
            </w:tcBorders>
          </w:tcPr>
          <w:p w:rsidR="00E10B76" w:rsidRDefault="00E10B76">
            <w:pPr>
              <w:pStyle w:val="ConsPlusNormal"/>
            </w:pPr>
          </w:p>
        </w:tc>
      </w:tr>
      <w:tr w:rsidR="00E10B76">
        <w:tc>
          <w:tcPr>
            <w:tcW w:w="8334" w:type="dxa"/>
            <w:tcBorders>
              <w:top w:val="nil"/>
              <w:left w:val="nil"/>
              <w:bottom w:val="nil"/>
              <w:right w:val="nil"/>
            </w:tcBorders>
            <w:vAlign w:val="bottom"/>
          </w:tcPr>
          <w:p w:rsidR="00E10B76" w:rsidRDefault="00E10B76">
            <w:pPr>
              <w:pStyle w:val="ConsPlusNormal"/>
              <w:jc w:val="right"/>
            </w:pPr>
            <w:r>
              <w:lastRenderedPageBreak/>
              <w:t>Всего страниц</w:t>
            </w:r>
          </w:p>
        </w:tc>
        <w:tc>
          <w:tcPr>
            <w:tcW w:w="680" w:type="dxa"/>
            <w:tcBorders>
              <w:top w:val="single" w:sz="4" w:space="0" w:color="auto"/>
              <w:left w:val="nil"/>
              <w:bottom w:val="single" w:sz="4" w:space="0" w:color="auto"/>
              <w:right w:val="nil"/>
            </w:tcBorders>
          </w:tcPr>
          <w:p w:rsidR="00E10B76" w:rsidRDefault="00E10B76">
            <w:pPr>
              <w:pStyle w:val="ConsPlusNormal"/>
            </w:pPr>
          </w:p>
        </w:tc>
      </w:tr>
    </w:tbl>
    <w:p w:rsidR="00E10B76" w:rsidRDefault="00E10B7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1474"/>
        <w:gridCol w:w="340"/>
        <w:gridCol w:w="1191"/>
        <w:gridCol w:w="340"/>
        <w:gridCol w:w="1587"/>
      </w:tblGrid>
      <w:tr w:rsidR="00E10B76">
        <w:tc>
          <w:tcPr>
            <w:tcW w:w="3798" w:type="dxa"/>
            <w:tcBorders>
              <w:top w:val="nil"/>
              <w:left w:val="nil"/>
              <w:bottom w:val="nil"/>
              <w:right w:val="nil"/>
            </w:tcBorders>
            <w:vAlign w:val="bottom"/>
          </w:tcPr>
          <w:p w:rsidR="00E10B76" w:rsidRDefault="00E10B76">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E10B76" w:rsidRDefault="00E10B76">
            <w:pPr>
              <w:pStyle w:val="ConsPlusNormal"/>
            </w:pPr>
          </w:p>
        </w:tc>
        <w:tc>
          <w:tcPr>
            <w:tcW w:w="1474" w:type="dxa"/>
            <w:tcBorders>
              <w:top w:val="nil"/>
              <w:left w:val="nil"/>
              <w:bottom w:val="single" w:sz="4" w:space="0" w:color="auto"/>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191" w:type="dxa"/>
            <w:tcBorders>
              <w:top w:val="nil"/>
              <w:left w:val="nil"/>
              <w:bottom w:val="single" w:sz="4" w:space="0" w:color="auto"/>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587" w:type="dxa"/>
            <w:tcBorders>
              <w:top w:val="nil"/>
              <w:left w:val="nil"/>
              <w:bottom w:val="single" w:sz="4" w:space="0" w:color="auto"/>
              <w:right w:val="nil"/>
            </w:tcBorders>
          </w:tcPr>
          <w:p w:rsidR="00E10B76" w:rsidRDefault="00E10B76">
            <w:pPr>
              <w:pStyle w:val="ConsPlusNormal"/>
            </w:pPr>
          </w:p>
        </w:tc>
      </w:tr>
      <w:tr w:rsidR="00E10B76">
        <w:tc>
          <w:tcPr>
            <w:tcW w:w="3798"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474" w:type="dxa"/>
            <w:tcBorders>
              <w:top w:val="single" w:sz="4" w:space="0" w:color="auto"/>
              <w:left w:val="nil"/>
              <w:bottom w:val="nil"/>
              <w:right w:val="nil"/>
            </w:tcBorders>
          </w:tcPr>
          <w:p w:rsidR="00E10B76" w:rsidRDefault="00E10B76">
            <w:pPr>
              <w:pStyle w:val="ConsPlusNormal"/>
              <w:jc w:val="center"/>
            </w:pPr>
            <w:r>
              <w:t>(должность)</w:t>
            </w:r>
          </w:p>
        </w:tc>
        <w:tc>
          <w:tcPr>
            <w:tcW w:w="340" w:type="dxa"/>
            <w:tcBorders>
              <w:top w:val="nil"/>
              <w:left w:val="nil"/>
              <w:bottom w:val="nil"/>
              <w:right w:val="nil"/>
            </w:tcBorders>
          </w:tcPr>
          <w:p w:rsidR="00E10B76" w:rsidRDefault="00E10B76">
            <w:pPr>
              <w:pStyle w:val="ConsPlusNormal"/>
            </w:pPr>
          </w:p>
        </w:tc>
        <w:tc>
          <w:tcPr>
            <w:tcW w:w="1191" w:type="dxa"/>
            <w:tcBorders>
              <w:top w:val="single" w:sz="4" w:space="0" w:color="auto"/>
              <w:left w:val="nil"/>
              <w:bottom w:val="nil"/>
              <w:right w:val="nil"/>
            </w:tcBorders>
          </w:tcPr>
          <w:p w:rsidR="00E10B76" w:rsidRDefault="00E10B76">
            <w:pPr>
              <w:pStyle w:val="ConsPlusNormal"/>
              <w:jc w:val="center"/>
            </w:pPr>
            <w:r>
              <w:t>(подпись)</w:t>
            </w:r>
          </w:p>
        </w:tc>
        <w:tc>
          <w:tcPr>
            <w:tcW w:w="340" w:type="dxa"/>
            <w:tcBorders>
              <w:top w:val="nil"/>
              <w:left w:val="nil"/>
              <w:bottom w:val="nil"/>
              <w:right w:val="nil"/>
            </w:tcBorders>
          </w:tcPr>
          <w:p w:rsidR="00E10B76" w:rsidRDefault="00E10B76">
            <w:pPr>
              <w:pStyle w:val="ConsPlusNormal"/>
            </w:pPr>
          </w:p>
        </w:tc>
        <w:tc>
          <w:tcPr>
            <w:tcW w:w="1587" w:type="dxa"/>
            <w:tcBorders>
              <w:top w:val="single" w:sz="4" w:space="0" w:color="auto"/>
              <w:left w:val="nil"/>
              <w:bottom w:val="nil"/>
              <w:right w:val="nil"/>
            </w:tcBorders>
          </w:tcPr>
          <w:p w:rsidR="00E10B76" w:rsidRDefault="00E10B76">
            <w:pPr>
              <w:pStyle w:val="ConsPlusNormal"/>
              <w:jc w:val="center"/>
            </w:pPr>
            <w:r>
              <w:t>(расшифровка подписи)</w:t>
            </w:r>
          </w:p>
        </w:tc>
      </w:tr>
      <w:tr w:rsidR="00E10B76">
        <w:tc>
          <w:tcPr>
            <w:tcW w:w="3798" w:type="dxa"/>
            <w:tcBorders>
              <w:top w:val="nil"/>
              <w:left w:val="nil"/>
              <w:bottom w:val="nil"/>
              <w:right w:val="nil"/>
            </w:tcBorders>
          </w:tcPr>
          <w:p w:rsidR="00E10B76" w:rsidRDefault="00E10B76">
            <w:pPr>
              <w:pStyle w:val="ConsPlusNormal"/>
            </w:pPr>
            <w:r>
              <w:t>"__" _____ 20__ г.</w:t>
            </w:r>
          </w:p>
        </w:tc>
        <w:tc>
          <w:tcPr>
            <w:tcW w:w="340" w:type="dxa"/>
            <w:tcBorders>
              <w:top w:val="nil"/>
              <w:left w:val="nil"/>
              <w:bottom w:val="nil"/>
              <w:right w:val="nil"/>
            </w:tcBorders>
          </w:tcPr>
          <w:p w:rsidR="00E10B76" w:rsidRDefault="00E10B76">
            <w:pPr>
              <w:pStyle w:val="ConsPlusNormal"/>
            </w:pPr>
          </w:p>
        </w:tc>
        <w:tc>
          <w:tcPr>
            <w:tcW w:w="1474"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191"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587" w:type="dxa"/>
            <w:tcBorders>
              <w:top w:val="nil"/>
              <w:left w:val="nil"/>
              <w:bottom w:val="nil"/>
              <w:right w:val="nil"/>
            </w:tcBorders>
          </w:tcPr>
          <w:p w:rsidR="00E10B76" w:rsidRDefault="00E10B76">
            <w:pPr>
              <w:pStyle w:val="ConsPlusNormal"/>
            </w:pPr>
          </w:p>
        </w:tc>
      </w:tr>
    </w:tbl>
    <w:p w:rsidR="00E10B76" w:rsidRDefault="00E10B76">
      <w:pPr>
        <w:pStyle w:val="ConsPlusNormal"/>
        <w:jc w:val="both"/>
      </w:pPr>
    </w:p>
    <w:p w:rsidR="00E10B76" w:rsidRDefault="00E10B76">
      <w:pPr>
        <w:pStyle w:val="ConsPlusNormal"/>
        <w:jc w:val="both"/>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bookmarkStart w:id="31" w:name="_GoBack"/>
      <w:bookmarkEnd w:id="31"/>
    </w:p>
    <w:p w:rsidR="0052513E" w:rsidRDefault="0052513E">
      <w:pPr>
        <w:pStyle w:val="ConsPlusNormal"/>
        <w:jc w:val="right"/>
        <w:outlineLvl w:val="1"/>
      </w:pPr>
    </w:p>
    <w:p w:rsidR="0052513E" w:rsidRDefault="0052513E">
      <w:pPr>
        <w:pStyle w:val="ConsPlusNormal"/>
        <w:jc w:val="right"/>
        <w:outlineLvl w:val="1"/>
      </w:pPr>
    </w:p>
    <w:p w:rsidR="0052513E" w:rsidRDefault="0052513E">
      <w:pPr>
        <w:pStyle w:val="ConsPlusNormal"/>
        <w:jc w:val="right"/>
        <w:outlineLvl w:val="1"/>
      </w:pPr>
    </w:p>
    <w:p w:rsidR="00E10B76" w:rsidRDefault="00E10B76">
      <w:pPr>
        <w:pStyle w:val="ConsPlusNormal"/>
        <w:jc w:val="right"/>
        <w:outlineLvl w:val="1"/>
      </w:pPr>
      <w:r>
        <w:lastRenderedPageBreak/>
        <w:t>Приложение N 2</w:t>
      </w:r>
    </w:p>
    <w:p w:rsidR="00E10B76" w:rsidRDefault="00E10B7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10B76">
        <w:tc>
          <w:tcPr>
            <w:tcW w:w="9071" w:type="dxa"/>
            <w:tcBorders>
              <w:top w:val="nil"/>
              <w:left w:val="nil"/>
              <w:bottom w:val="nil"/>
              <w:right w:val="nil"/>
            </w:tcBorders>
          </w:tcPr>
          <w:p w:rsidR="00E10B76" w:rsidRDefault="00E10B76">
            <w:pPr>
              <w:pStyle w:val="ConsPlusNormal"/>
              <w:jc w:val="center"/>
            </w:pPr>
            <w:bookmarkStart w:id="32" w:name="P357"/>
            <w:bookmarkEnd w:id="32"/>
            <w:r>
              <w:t>УВЕДОМЛЕНИЕ N _____</w:t>
            </w:r>
          </w:p>
          <w:p w:rsidR="00E10B76" w:rsidRDefault="00E10B76">
            <w:pPr>
              <w:pStyle w:val="ConsPlusNormal"/>
              <w:jc w:val="center"/>
            </w:pPr>
            <w:r>
              <w:t>о нарушении сроков внесения и размеров арендной платы</w:t>
            </w:r>
          </w:p>
        </w:tc>
      </w:tr>
    </w:tbl>
    <w:p w:rsidR="00E10B76" w:rsidRDefault="00E10B7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40"/>
        <w:gridCol w:w="2324"/>
        <w:gridCol w:w="340"/>
        <w:gridCol w:w="1928"/>
        <w:gridCol w:w="1020"/>
      </w:tblGrid>
      <w:tr w:rsidR="00E10B76">
        <w:tc>
          <w:tcPr>
            <w:tcW w:w="5725" w:type="dxa"/>
            <w:gridSpan w:val="3"/>
            <w:vMerge w:val="restart"/>
            <w:tcBorders>
              <w:top w:val="nil"/>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tcPr>
          <w:p w:rsidR="00E10B76" w:rsidRDefault="00E10B76">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E10B76" w:rsidRDefault="00E10B76">
            <w:pPr>
              <w:pStyle w:val="ConsPlusNormal"/>
              <w:jc w:val="center"/>
            </w:pPr>
            <w:r>
              <w:t>Коды</w:t>
            </w:r>
          </w:p>
        </w:tc>
      </w:tr>
      <w:tr w:rsidR="00E10B76">
        <w:tc>
          <w:tcPr>
            <w:tcW w:w="5725" w:type="dxa"/>
            <w:gridSpan w:val="3"/>
            <w:vMerge/>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jc w:val="center"/>
            </w:pPr>
            <w:r>
              <w:t>0504714</w:t>
            </w:r>
          </w:p>
        </w:tc>
      </w:tr>
      <w:tr w:rsidR="00E10B76">
        <w:tc>
          <w:tcPr>
            <w:tcW w:w="3061"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2324" w:type="dxa"/>
            <w:tcBorders>
              <w:top w:val="nil"/>
              <w:left w:val="nil"/>
              <w:bottom w:val="nil"/>
              <w:right w:val="nil"/>
            </w:tcBorders>
            <w:vAlign w:val="bottom"/>
          </w:tcPr>
          <w:p w:rsidR="00E10B76" w:rsidRDefault="00E10B76">
            <w:pPr>
              <w:pStyle w:val="ConsPlusNormal"/>
              <w:jc w:val="center"/>
            </w:pPr>
            <w:r>
              <w:t>от "__" _____ 20__ г.</w:t>
            </w: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Наименование органа Федерального казначейства</w:t>
            </w:r>
          </w:p>
        </w:tc>
        <w:tc>
          <w:tcPr>
            <w:tcW w:w="340" w:type="dxa"/>
            <w:tcBorders>
              <w:top w:val="nil"/>
              <w:left w:val="nil"/>
              <w:bottom w:val="nil"/>
              <w:right w:val="nil"/>
            </w:tcBorders>
          </w:tcPr>
          <w:p w:rsidR="00E10B76" w:rsidRDefault="00E10B76">
            <w:pPr>
              <w:pStyle w:val="ConsPlusNormal"/>
            </w:pPr>
          </w:p>
        </w:tc>
        <w:tc>
          <w:tcPr>
            <w:tcW w:w="2324" w:type="dxa"/>
            <w:tcBorders>
              <w:top w:val="nil"/>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vMerge w:val="restart"/>
            <w:tcBorders>
              <w:top w:val="nil"/>
              <w:left w:val="nil"/>
              <w:bottom w:val="nil"/>
              <w:right w:val="nil"/>
            </w:tcBorders>
          </w:tcPr>
          <w:p w:rsidR="00E10B76" w:rsidRDefault="00E10B76">
            <w:pPr>
              <w:pStyle w:val="ConsPlusNormal"/>
            </w:pPr>
            <w:r>
              <w:t>Главный распорядитель (распорядитель) бюджетных средств</w:t>
            </w:r>
          </w:p>
        </w:tc>
        <w:tc>
          <w:tcPr>
            <w:tcW w:w="340" w:type="dxa"/>
            <w:vMerge w:val="restart"/>
            <w:tcBorders>
              <w:top w:val="nil"/>
              <w:left w:val="nil"/>
              <w:bottom w:val="nil"/>
              <w:right w:val="nil"/>
            </w:tcBorders>
          </w:tcPr>
          <w:p w:rsidR="00E10B76" w:rsidRDefault="00E10B76">
            <w:pPr>
              <w:pStyle w:val="ConsPlusNormal"/>
            </w:pPr>
          </w:p>
        </w:tc>
        <w:tc>
          <w:tcPr>
            <w:tcW w:w="2324" w:type="dxa"/>
            <w:tcBorders>
              <w:top w:val="single" w:sz="4" w:space="0" w:color="auto"/>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vMerge/>
            <w:tcBorders>
              <w:top w:val="nil"/>
              <w:left w:val="nil"/>
              <w:bottom w:val="nil"/>
              <w:right w:val="nil"/>
            </w:tcBorders>
          </w:tcPr>
          <w:p w:rsidR="00E10B76" w:rsidRDefault="00E10B76">
            <w:pPr>
              <w:pStyle w:val="ConsPlusNormal"/>
            </w:pPr>
          </w:p>
        </w:tc>
        <w:tc>
          <w:tcPr>
            <w:tcW w:w="340" w:type="dxa"/>
            <w:vMerge/>
            <w:tcBorders>
              <w:top w:val="nil"/>
              <w:left w:val="nil"/>
              <w:bottom w:val="nil"/>
              <w:right w:val="nil"/>
            </w:tcBorders>
          </w:tcPr>
          <w:p w:rsidR="00E10B76" w:rsidRDefault="00E10B76">
            <w:pPr>
              <w:pStyle w:val="ConsPlusNormal"/>
            </w:pPr>
          </w:p>
        </w:tc>
        <w:tc>
          <w:tcPr>
            <w:tcW w:w="2324" w:type="dxa"/>
            <w:tcBorders>
              <w:top w:val="nil"/>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Получатель бюджетных средств</w:t>
            </w: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Номер лицевого счета получателя</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Наименование бюджета</w:t>
            </w:r>
          </w:p>
        </w:tc>
        <w:tc>
          <w:tcPr>
            <w:tcW w:w="340" w:type="dxa"/>
            <w:tcBorders>
              <w:top w:val="nil"/>
              <w:left w:val="nil"/>
              <w:bottom w:val="nil"/>
              <w:right w:val="nil"/>
            </w:tcBorders>
          </w:tcPr>
          <w:p w:rsidR="00E10B76" w:rsidRDefault="00E10B76">
            <w:pPr>
              <w:pStyle w:val="ConsPlusNormal"/>
            </w:pPr>
          </w:p>
        </w:tc>
        <w:tc>
          <w:tcPr>
            <w:tcW w:w="2324" w:type="dxa"/>
            <w:tcBorders>
              <w:top w:val="nil"/>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vAlign w:val="bottom"/>
          </w:tcPr>
          <w:p w:rsidR="00E10B76" w:rsidRDefault="00E10B76">
            <w:pPr>
              <w:pStyle w:val="ConsPlusNormal"/>
            </w:pPr>
            <w:r>
              <w:t>Финансовый орган</w:t>
            </w: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single" w:sz="4" w:space="0" w:color="auto"/>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3061" w:type="dxa"/>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2324" w:type="dxa"/>
            <w:tcBorders>
              <w:top w:val="single" w:sz="4" w:space="0" w:color="auto"/>
              <w:left w:val="nil"/>
              <w:bottom w:val="nil"/>
              <w:right w:val="nil"/>
            </w:tcBorders>
            <w:vAlign w:val="bottom"/>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Учетный номер обязательства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pPr>
          </w:p>
        </w:tc>
      </w:tr>
      <w:tr w:rsidR="00E10B76">
        <w:tc>
          <w:tcPr>
            <w:tcW w:w="5725" w:type="dxa"/>
            <w:gridSpan w:val="3"/>
            <w:tcBorders>
              <w:top w:val="nil"/>
              <w:left w:val="nil"/>
              <w:bottom w:val="nil"/>
              <w:right w:val="nil"/>
            </w:tcBorders>
          </w:tcPr>
          <w:p w:rsidR="00E10B76" w:rsidRDefault="00E10B76">
            <w:pPr>
              <w:pStyle w:val="ConsPlusNormal"/>
            </w:pPr>
            <w:r>
              <w:t>Единица измерения: руб. (с точностью до второго десятичного знака)</w:t>
            </w:r>
          </w:p>
        </w:tc>
        <w:tc>
          <w:tcPr>
            <w:tcW w:w="340" w:type="dxa"/>
            <w:tcBorders>
              <w:top w:val="nil"/>
              <w:left w:val="nil"/>
              <w:bottom w:val="nil"/>
              <w:right w:val="nil"/>
            </w:tcBorders>
          </w:tcPr>
          <w:p w:rsidR="00E10B76" w:rsidRDefault="00E10B76">
            <w:pPr>
              <w:pStyle w:val="ConsPlusNormal"/>
            </w:pPr>
          </w:p>
        </w:tc>
        <w:tc>
          <w:tcPr>
            <w:tcW w:w="1928" w:type="dxa"/>
            <w:tcBorders>
              <w:top w:val="nil"/>
              <w:left w:val="nil"/>
              <w:bottom w:val="nil"/>
              <w:right w:val="single" w:sz="4" w:space="0" w:color="auto"/>
            </w:tcBorders>
            <w:vAlign w:val="center"/>
          </w:tcPr>
          <w:p w:rsidR="00E10B76" w:rsidRDefault="00E10B76">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E10B76" w:rsidRDefault="00E10B76">
            <w:pPr>
              <w:pStyle w:val="ConsPlusNormal"/>
              <w:jc w:val="center"/>
            </w:pPr>
            <w:hyperlink r:id="rId83">
              <w:r>
                <w:rPr>
                  <w:color w:val="0000FF"/>
                </w:rPr>
                <w:t>383</w:t>
              </w:r>
            </w:hyperlink>
          </w:p>
        </w:tc>
      </w:tr>
    </w:tbl>
    <w:p w:rsidR="00E10B76" w:rsidRDefault="00E10B7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1474"/>
        <w:gridCol w:w="1020"/>
        <w:gridCol w:w="57"/>
        <w:gridCol w:w="283"/>
        <w:gridCol w:w="851"/>
        <w:gridCol w:w="566"/>
        <w:gridCol w:w="340"/>
        <w:gridCol w:w="398"/>
        <w:gridCol w:w="849"/>
        <w:gridCol w:w="340"/>
        <w:gridCol w:w="682"/>
        <w:gridCol w:w="113"/>
        <w:gridCol w:w="737"/>
      </w:tblGrid>
      <w:tr w:rsidR="00E10B76">
        <w:tc>
          <w:tcPr>
            <w:tcW w:w="4989" w:type="dxa"/>
            <w:gridSpan w:val="7"/>
            <w:tcBorders>
              <w:left w:val="nil"/>
            </w:tcBorders>
          </w:tcPr>
          <w:p w:rsidR="00E10B76" w:rsidRDefault="00E10B76">
            <w:pPr>
              <w:pStyle w:val="ConsPlusNormal"/>
              <w:jc w:val="center"/>
            </w:pPr>
            <w:r>
              <w:t>Договор аренды</w:t>
            </w:r>
          </w:p>
        </w:tc>
        <w:tc>
          <w:tcPr>
            <w:tcW w:w="1304" w:type="dxa"/>
            <w:gridSpan w:val="3"/>
            <w:vMerge w:val="restart"/>
          </w:tcPr>
          <w:p w:rsidR="00E10B76" w:rsidRDefault="00E10B76">
            <w:pPr>
              <w:pStyle w:val="ConsPlusNormal"/>
              <w:jc w:val="center"/>
            </w:pPr>
            <w:r>
              <w:t>Фактическая дата внесения арендной платы</w:t>
            </w:r>
          </w:p>
        </w:tc>
        <w:tc>
          <w:tcPr>
            <w:tcW w:w="1871" w:type="dxa"/>
            <w:gridSpan w:val="3"/>
            <w:vMerge w:val="restart"/>
          </w:tcPr>
          <w:p w:rsidR="00E10B76" w:rsidRDefault="00E10B76">
            <w:pPr>
              <w:pStyle w:val="ConsPlusNormal"/>
              <w:jc w:val="center"/>
            </w:pPr>
            <w:r>
              <w:t>Сумма превышения размера арендной платы, установленной договором</w:t>
            </w:r>
          </w:p>
        </w:tc>
        <w:tc>
          <w:tcPr>
            <w:tcW w:w="850" w:type="dxa"/>
            <w:gridSpan w:val="2"/>
            <w:vMerge w:val="restart"/>
            <w:tcBorders>
              <w:right w:val="nil"/>
            </w:tcBorders>
          </w:tcPr>
          <w:p w:rsidR="00E10B76" w:rsidRDefault="00E10B76">
            <w:pPr>
              <w:pStyle w:val="ConsPlusNormal"/>
              <w:jc w:val="center"/>
            </w:pPr>
            <w:r>
              <w:t>Примечание</w:t>
            </w:r>
          </w:p>
        </w:tc>
      </w:tr>
      <w:tr w:rsidR="00E10B76">
        <w:tc>
          <w:tcPr>
            <w:tcW w:w="624" w:type="dxa"/>
            <w:tcBorders>
              <w:left w:val="nil"/>
            </w:tcBorders>
          </w:tcPr>
          <w:p w:rsidR="00E10B76" w:rsidRDefault="00E10B76">
            <w:pPr>
              <w:pStyle w:val="ConsPlusNormal"/>
              <w:jc w:val="center"/>
            </w:pPr>
            <w:r>
              <w:t>номер</w:t>
            </w:r>
          </w:p>
        </w:tc>
        <w:tc>
          <w:tcPr>
            <w:tcW w:w="680" w:type="dxa"/>
          </w:tcPr>
          <w:p w:rsidR="00E10B76" w:rsidRDefault="00E10B76">
            <w:pPr>
              <w:pStyle w:val="ConsPlusNormal"/>
              <w:jc w:val="center"/>
            </w:pPr>
            <w:r>
              <w:t>дата</w:t>
            </w:r>
          </w:p>
        </w:tc>
        <w:tc>
          <w:tcPr>
            <w:tcW w:w="1474" w:type="dxa"/>
          </w:tcPr>
          <w:p w:rsidR="00E10B76" w:rsidRDefault="00E10B76">
            <w:pPr>
              <w:pStyle w:val="ConsPlusNormal"/>
              <w:jc w:val="center"/>
            </w:pPr>
            <w:r>
              <w:t>периодичность внесения арендной платы</w:t>
            </w:r>
          </w:p>
        </w:tc>
        <w:tc>
          <w:tcPr>
            <w:tcW w:w="1077" w:type="dxa"/>
            <w:gridSpan w:val="2"/>
          </w:tcPr>
          <w:p w:rsidR="00E10B76" w:rsidRDefault="00E10B76">
            <w:pPr>
              <w:pStyle w:val="ConsPlusNormal"/>
              <w:jc w:val="center"/>
            </w:pPr>
            <w:r>
              <w:t>срок внесения арендной платы</w:t>
            </w:r>
          </w:p>
        </w:tc>
        <w:tc>
          <w:tcPr>
            <w:tcW w:w="1134" w:type="dxa"/>
            <w:gridSpan w:val="2"/>
          </w:tcPr>
          <w:p w:rsidR="00E10B76" w:rsidRDefault="00E10B76">
            <w:pPr>
              <w:pStyle w:val="ConsPlusNormal"/>
              <w:jc w:val="center"/>
            </w:pPr>
            <w:r>
              <w:t>сумма арендной платы за период</w:t>
            </w:r>
          </w:p>
        </w:tc>
        <w:tc>
          <w:tcPr>
            <w:tcW w:w="1304" w:type="dxa"/>
            <w:gridSpan w:val="3"/>
            <w:vMerge/>
          </w:tcPr>
          <w:p w:rsidR="00E10B76" w:rsidRDefault="00E10B76">
            <w:pPr>
              <w:pStyle w:val="ConsPlusNormal"/>
            </w:pPr>
          </w:p>
        </w:tc>
        <w:tc>
          <w:tcPr>
            <w:tcW w:w="1871" w:type="dxa"/>
            <w:gridSpan w:val="3"/>
            <w:vMerge/>
          </w:tcPr>
          <w:p w:rsidR="00E10B76" w:rsidRDefault="00E10B76">
            <w:pPr>
              <w:pStyle w:val="ConsPlusNormal"/>
            </w:pPr>
          </w:p>
        </w:tc>
        <w:tc>
          <w:tcPr>
            <w:tcW w:w="850" w:type="dxa"/>
            <w:gridSpan w:val="2"/>
            <w:vMerge/>
            <w:tcBorders>
              <w:right w:val="nil"/>
            </w:tcBorders>
          </w:tcPr>
          <w:p w:rsidR="00E10B76" w:rsidRDefault="00E10B76">
            <w:pPr>
              <w:pStyle w:val="ConsPlusNormal"/>
            </w:pPr>
          </w:p>
        </w:tc>
      </w:tr>
      <w:tr w:rsidR="00E10B76">
        <w:tc>
          <w:tcPr>
            <w:tcW w:w="624" w:type="dxa"/>
            <w:tcBorders>
              <w:left w:val="nil"/>
            </w:tcBorders>
          </w:tcPr>
          <w:p w:rsidR="00E10B76" w:rsidRDefault="00E10B76">
            <w:pPr>
              <w:pStyle w:val="ConsPlusNormal"/>
              <w:jc w:val="center"/>
            </w:pPr>
            <w:r>
              <w:t>1</w:t>
            </w:r>
          </w:p>
        </w:tc>
        <w:tc>
          <w:tcPr>
            <w:tcW w:w="680" w:type="dxa"/>
          </w:tcPr>
          <w:p w:rsidR="00E10B76" w:rsidRDefault="00E10B76">
            <w:pPr>
              <w:pStyle w:val="ConsPlusNormal"/>
              <w:jc w:val="center"/>
            </w:pPr>
            <w:r>
              <w:t>2</w:t>
            </w:r>
          </w:p>
        </w:tc>
        <w:tc>
          <w:tcPr>
            <w:tcW w:w="1474" w:type="dxa"/>
          </w:tcPr>
          <w:p w:rsidR="00E10B76" w:rsidRDefault="00E10B76">
            <w:pPr>
              <w:pStyle w:val="ConsPlusNormal"/>
              <w:jc w:val="center"/>
            </w:pPr>
            <w:r>
              <w:t>3</w:t>
            </w:r>
          </w:p>
        </w:tc>
        <w:tc>
          <w:tcPr>
            <w:tcW w:w="1077" w:type="dxa"/>
            <w:gridSpan w:val="2"/>
          </w:tcPr>
          <w:p w:rsidR="00E10B76" w:rsidRDefault="00E10B76">
            <w:pPr>
              <w:pStyle w:val="ConsPlusNormal"/>
              <w:jc w:val="center"/>
            </w:pPr>
            <w:r>
              <w:t>4</w:t>
            </w:r>
          </w:p>
        </w:tc>
        <w:tc>
          <w:tcPr>
            <w:tcW w:w="1134" w:type="dxa"/>
            <w:gridSpan w:val="2"/>
          </w:tcPr>
          <w:p w:rsidR="00E10B76" w:rsidRDefault="00E10B76">
            <w:pPr>
              <w:pStyle w:val="ConsPlusNormal"/>
              <w:jc w:val="center"/>
            </w:pPr>
            <w:r>
              <w:t>5</w:t>
            </w:r>
          </w:p>
        </w:tc>
        <w:tc>
          <w:tcPr>
            <w:tcW w:w="1304" w:type="dxa"/>
            <w:gridSpan w:val="3"/>
          </w:tcPr>
          <w:p w:rsidR="00E10B76" w:rsidRDefault="00E10B76">
            <w:pPr>
              <w:pStyle w:val="ConsPlusNormal"/>
              <w:jc w:val="center"/>
            </w:pPr>
            <w:r>
              <w:t>6</w:t>
            </w:r>
          </w:p>
        </w:tc>
        <w:tc>
          <w:tcPr>
            <w:tcW w:w="1871" w:type="dxa"/>
            <w:gridSpan w:val="3"/>
          </w:tcPr>
          <w:p w:rsidR="00E10B76" w:rsidRDefault="00E10B76">
            <w:pPr>
              <w:pStyle w:val="ConsPlusNormal"/>
              <w:jc w:val="center"/>
            </w:pPr>
            <w:r>
              <w:t>7</w:t>
            </w:r>
          </w:p>
        </w:tc>
        <w:tc>
          <w:tcPr>
            <w:tcW w:w="850" w:type="dxa"/>
            <w:gridSpan w:val="2"/>
            <w:tcBorders>
              <w:right w:val="nil"/>
            </w:tcBorders>
          </w:tcPr>
          <w:p w:rsidR="00E10B76" w:rsidRDefault="00E10B76">
            <w:pPr>
              <w:pStyle w:val="ConsPlusNormal"/>
              <w:jc w:val="center"/>
            </w:pPr>
            <w:r>
              <w:t>8</w:t>
            </w:r>
          </w:p>
        </w:tc>
      </w:tr>
      <w:tr w:rsidR="00E10B76">
        <w:tblPrEx>
          <w:tblBorders>
            <w:left w:val="single" w:sz="4" w:space="0" w:color="auto"/>
            <w:right w:val="single" w:sz="4" w:space="0" w:color="auto"/>
          </w:tblBorders>
        </w:tblPrEx>
        <w:tc>
          <w:tcPr>
            <w:tcW w:w="624" w:type="dxa"/>
          </w:tcPr>
          <w:p w:rsidR="00E10B76" w:rsidRDefault="00E10B76">
            <w:pPr>
              <w:pStyle w:val="ConsPlusNormal"/>
            </w:pPr>
          </w:p>
        </w:tc>
        <w:tc>
          <w:tcPr>
            <w:tcW w:w="680" w:type="dxa"/>
          </w:tcPr>
          <w:p w:rsidR="00E10B76" w:rsidRDefault="00E10B76">
            <w:pPr>
              <w:pStyle w:val="ConsPlusNormal"/>
            </w:pPr>
          </w:p>
        </w:tc>
        <w:tc>
          <w:tcPr>
            <w:tcW w:w="1474" w:type="dxa"/>
          </w:tcPr>
          <w:p w:rsidR="00E10B76" w:rsidRDefault="00E10B76">
            <w:pPr>
              <w:pStyle w:val="ConsPlusNormal"/>
            </w:pPr>
          </w:p>
        </w:tc>
        <w:tc>
          <w:tcPr>
            <w:tcW w:w="1077" w:type="dxa"/>
            <w:gridSpan w:val="2"/>
          </w:tcPr>
          <w:p w:rsidR="00E10B76" w:rsidRDefault="00E10B76">
            <w:pPr>
              <w:pStyle w:val="ConsPlusNormal"/>
            </w:pPr>
          </w:p>
        </w:tc>
        <w:tc>
          <w:tcPr>
            <w:tcW w:w="1134" w:type="dxa"/>
            <w:gridSpan w:val="2"/>
          </w:tcPr>
          <w:p w:rsidR="00E10B76" w:rsidRDefault="00E10B76">
            <w:pPr>
              <w:pStyle w:val="ConsPlusNormal"/>
            </w:pPr>
          </w:p>
        </w:tc>
        <w:tc>
          <w:tcPr>
            <w:tcW w:w="1304" w:type="dxa"/>
            <w:gridSpan w:val="3"/>
          </w:tcPr>
          <w:p w:rsidR="00E10B76" w:rsidRDefault="00E10B76">
            <w:pPr>
              <w:pStyle w:val="ConsPlusNormal"/>
            </w:pPr>
          </w:p>
        </w:tc>
        <w:tc>
          <w:tcPr>
            <w:tcW w:w="1871" w:type="dxa"/>
            <w:gridSpan w:val="3"/>
          </w:tcPr>
          <w:p w:rsidR="00E10B76" w:rsidRDefault="00E10B76">
            <w:pPr>
              <w:pStyle w:val="ConsPlusNormal"/>
            </w:pPr>
          </w:p>
        </w:tc>
        <w:tc>
          <w:tcPr>
            <w:tcW w:w="850" w:type="dxa"/>
            <w:gridSpan w:val="2"/>
          </w:tcPr>
          <w:p w:rsidR="00E10B76" w:rsidRDefault="00E10B76">
            <w:pPr>
              <w:pStyle w:val="ConsPlusNormal"/>
            </w:pPr>
          </w:p>
        </w:tc>
      </w:tr>
      <w:tr w:rsidR="00E10B76">
        <w:tblPrEx>
          <w:tblBorders>
            <w:top w:val="none" w:sz="0" w:space="0" w:color="auto"/>
            <w:bottom w:val="none" w:sz="0" w:space="0" w:color="auto"/>
            <w:insideH w:val="none" w:sz="0" w:space="0" w:color="auto"/>
            <w:insideV w:val="none" w:sz="0" w:space="0" w:color="auto"/>
          </w:tblBorders>
        </w:tblPrEx>
        <w:tc>
          <w:tcPr>
            <w:tcW w:w="8277" w:type="dxa"/>
            <w:gridSpan w:val="14"/>
            <w:tcBorders>
              <w:top w:val="nil"/>
              <w:left w:val="nil"/>
              <w:bottom w:val="nil"/>
              <w:right w:val="nil"/>
            </w:tcBorders>
            <w:vAlign w:val="bottom"/>
          </w:tcPr>
          <w:p w:rsidR="00E10B76" w:rsidRDefault="00E10B76">
            <w:pPr>
              <w:pStyle w:val="ConsPlusNormal"/>
              <w:jc w:val="right"/>
            </w:pPr>
            <w:r>
              <w:t>Номер страницы</w:t>
            </w:r>
          </w:p>
        </w:tc>
        <w:tc>
          <w:tcPr>
            <w:tcW w:w="737" w:type="dxa"/>
            <w:tcBorders>
              <w:top w:val="nil"/>
              <w:left w:val="nil"/>
              <w:bottom w:val="single" w:sz="4" w:space="0" w:color="auto"/>
              <w:right w:val="nil"/>
            </w:tcBorders>
          </w:tcPr>
          <w:p w:rsidR="00E10B76" w:rsidRDefault="00E10B76">
            <w:pPr>
              <w:pStyle w:val="ConsPlusNormal"/>
            </w:pPr>
          </w:p>
        </w:tc>
      </w:tr>
      <w:tr w:rsidR="00E10B76">
        <w:tblPrEx>
          <w:tblBorders>
            <w:top w:val="none" w:sz="0" w:space="0" w:color="auto"/>
            <w:bottom w:val="none" w:sz="0" w:space="0" w:color="auto"/>
            <w:insideH w:val="none" w:sz="0" w:space="0" w:color="auto"/>
            <w:insideV w:val="none" w:sz="0" w:space="0" w:color="auto"/>
          </w:tblBorders>
        </w:tblPrEx>
        <w:tc>
          <w:tcPr>
            <w:tcW w:w="8277" w:type="dxa"/>
            <w:gridSpan w:val="14"/>
            <w:tcBorders>
              <w:top w:val="nil"/>
              <w:left w:val="nil"/>
              <w:bottom w:val="nil"/>
              <w:right w:val="nil"/>
            </w:tcBorders>
          </w:tcPr>
          <w:p w:rsidR="00E10B76" w:rsidRDefault="00E10B76">
            <w:pPr>
              <w:pStyle w:val="ConsPlusNormal"/>
              <w:jc w:val="right"/>
            </w:pPr>
            <w:r>
              <w:t>Всего страниц</w:t>
            </w:r>
          </w:p>
        </w:tc>
        <w:tc>
          <w:tcPr>
            <w:tcW w:w="737" w:type="dxa"/>
            <w:tcBorders>
              <w:top w:val="single" w:sz="4" w:space="0" w:color="auto"/>
              <w:left w:val="nil"/>
              <w:bottom w:val="single" w:sz="4" w:space="0" w:color="auto"/>
              <w:right w:val="nil"/>
            </w:tcBorders>
          </w:tcPr>
          <w:p w:rsidR="00E10B76" w:rsidRDefault="00E10B76">
            <w:pPr>
              <w:pStyle w:val="ConsPlusNormal"/>
            </w:pPr>
          </w:p>
        </w:tc>
      </w:tr>
      <w:tr w:rsidR="00E10B76" w:rsidTr="0052513E">
        <w:tblPrEx>
          <w:tblBorders>
            <w:top w:val="none" w:sz="0" w:space="0" w:color="auto"/>
            <w:bottom w:val="none" w:sz="0" w:space="0" w:color="auto"/>
            <w:insideH w:val="none" w:sz="0" w:space="0" w:color="auto"/>
            <w:insideV w:val="none" w:sz="0" w:space="0" w:color="auto"/>
          </w:tblBorders>
        </w:tblPrEx>
        <w:tc>
          <w:tcPr>
            <w:tcW w:w="3798" w:type="dxa"/>
            <w:gridSpan w:val="4"/>
            <w:tcBorders>
              <w:top w:val="nil"/>
              <w:left w:val="nil"/>
              <w:bottom w:val="nil"/>
              <w:right w:val="nil"/>
            </w:tcBorders>
            <w:vAlign w:val="bottom"/>
          </w:tcPr>
          <w:p w:rsidR="00E10B76" w:rsidRDefault="00E10B76">
            <w:pPr>
              <w:pStyle w:val="ConsPlusNormal"/>
            </w:pPr>
            <w:r>
              <w:t>Руководитель органа Федерального казначейства (уполномоченное лицо)</w:t>
            </w:r>
          </w:p>
        </w:tc>
        <w:tc>
          <w:tcPr>
            <w:tcW w:w="340" w:type="dxa"/>
            <w:gridSpan w:val="2"/>
            <w:tcBorders>
              <w:top w:val="nil"/>
              <w:left w:val="nil"/>
              <w:bottom w:val="nil"/>
              <w:right w:val="nil"/>
            </w:tcBorders>
          </w:tcPr>
          <w:p w:rsidR="00E10B76" w:rsidRDefault="00E10B76">
            <w:pPr>
              <w:pStyle w:val="ConsPlusNormal"/>
            </w:pPr>
          </w:p>
        </w:tc>
        <w:tc>
          <w:tcPr>
            <w:tcW w:w="1417" w:type="dxa"/>
            <w:gridSpan w:val="2"/>
            <w:tcBorders>
              <w:top w:val="nil"/>
              <w:left w:val="nil"/>
              <w:bottom w:val="single" w:sz="4" w:space="0" w:color="auto"/>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247" w:type="dxa"/>
            <w:gridSpan w:val="2"/>
            <w:tcBorders>
              <w:top w:val="nil"/>
              <w:left w:val="nil"/>
              <w:bottom w:val="single" w:sz="4" w:space="0" w:color="auto"/>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532" w:type="dxa"/>
            <w:gridSpan w:val="3"/>
            <w:tcBorders>
              <w:top w:val="nil"/>
              <w:left w:val="nil"/>
              <w:bottom w:val="single" w:sz="4" w:space="0" w:color="auto"/>
              <w:right w:val="nil"/>
            </w:tcBorders>
          </w:tcPr>
          <w:p w:rsidR="00E10B76" w:rsidRDefault="00E10B76">
            <w:pPr>
              <w:pStyle w:val="ConsPlusNormal"/>
            </w:pPr>
          </w:p>
        </w:tc>
      </w:tr>
      <w:tr w:rsidR="00E10B76" w:rsidTr="0052513E">
        <w:tblPrEx>
          <w:tblBorders>
            <w:top w:val="none" w:sz="0" w:space="0" w:color="auto"/>
            <w:bottom w:val="none" w:sz="0" w:space="0" w:color="auto"/>
            <w:insideH w:val="none" w:sz="0" w:space="0" w:color="auto"/>
            <w:insideV w:val="none" w:sz="0" w:space="0" w:color="auto"/>
          </w:tblBorders>
        </w:tblPrEx>
        <w:tc>
          <w:tcPr>
            <w:tcW w:w="3798" w:type="dxa"/>
            <w:gridSpan w:val="4"/>
            <w:tcBorders>
              <w:top w:val="nil"/>
              <w:left w:val="nil"/>
              <w:bottom w:val="nil"/>
              <w:right w:val="nil"/>
            </w:tcBorders>
            <w:vAlign w:val="bottom"/>
          </w:tcPr>
          <w:p w:rsidR="00E10B76" w:rsidRDefault="00E10B76">
            <w:pPr>
              <w:pStyle w:val="ConsPlusNormal"/>
            </w:pPr>
          </w:p>
        </w:tc>
        <w:tc>
          <w:tcPr>
            <w:tcW w:w="340" w:type="dxa"/>
            <w:gridSpan w:val="2"/>
            <w:tcBorders>
              <w:top w:val="nil"/>
              <w:left w:val="nil"/>
              <w:bottom w:val="nil"/>
              <w:right w:val="nil"/>
            </w:tcBorders>
          </w:tcPr>
          <w:p w:rsidR="00E10B76" w:rsidRDefault="00E10B76">
            <w:pPr>
              <w:pStyle w:val="ConsPlusNormal"/>
            </w:pPr>
          </w:p>
        </w:tc>
        <w:tc>
          <w:tcPr>
            <w:tcW w:w="1417" w:type="dxa"/>
            <w:gridSpan w:val="2"/>
            <w:tcBorders>
              <w:top w:val="single" w:sz="4" w:space="0" w:color="auto"/>
              <w:left w:val="nil"/>
              <w:bottom w:val="nil"/>
              <w:right w:val="nil"/>
            </w:tcBorders>
          </w:tcPr>
          <w:p w:rsidR="00E10B76" w:rsidRDefault="00E10B76">
            <w:pPr>
              <w:pStyle w:val="ConsPlusNormal"/>
              <w:jc w:val="center"/>
            </w:pPr>
            <w:r>
              <w:t>(должность)</w:t>
            </w:r>
          </w:p>
        </w:tc>
        <w:tc>
          <w:tcPr>
            <w:tcW w:w="340" w:type="dxa"/>
            <w:tcBorders>
              <w:top w:val="nil"/>
              <w:left w:val="nil"/>
              <w:bottom w:val="nil"/>
              <w:right w:val="nil"/>
            </w:tcBorders>
          </w:tcPr>
          <w:p w:rsidR="00E10B76" w:rsidRDefault="00E10B76">
            <w:pPr>
              <w:pStyle w:val="ConsPlusNormal"/>
            </w:pPr>
          </w:p>
        </w:tc>
        <w:tc>
          <w:tcPr>
            <w:tcW w:w="1247" w:type="dxa"/>
            <w:gridSpan w:val="2"/>
            <w:tcBorders>
              <w:top w:val="single" w:sz="4" w:space="0" w:color="auto"/>
              <w:left w:val="nil"/>
              <w:bottom w:val="nil"/>
              <w:right w:val="nil"/>
            </w:tcBorders>
          </w:tcPr>
          <w:p w:rsidR="00E10B76" w:rsidRDefault="00E10B76">
            <w:pPr>
              <w:pStyle w:val="ConsPlusNormal"/>
              <w:jc w:val="center"/>
            </w:pPr>
            <w:r>
              <w:t>(подпись)</w:t>
            </w:r>
          </w:p>
        </w:tc>
        <w:tc>
          <w:tcPr>
            <w:tcW w:w="340" w:type="dxa"/>
            <w:tcBorders>
              <w:top w:val="nil"/>
              <w:left w:val="nil"/>
              <w:bottom w:val="nil"/>
              <w:right w:val="nil"/>
            </w:tcBorders>
          </w:tcPr>
          <w:p w:rsidR="00E10B76" w:rsidRDefault="00E10B76">
            <w:pPr>
              <w:pStyle w:val="ConsPlusNormal"/>
            </w:pPr>
          </w:p>
        </w:tc>
        <w:tc>
          <w:tcPr>
            <w:tcW w:w="1532" w:type="dxa"/>
            <w:gridSpan w:val="3"/>
            <w:tcBorders>
              <w:top w:val="single" w:sz="4" w:space="0" w:color="auto"/>
              <w:left w:val="nil"/>
              <w:bottom w:val="nil"/>
              <w:right w:val="nil"/>
            </w:tcBorders>
          </w:tcPr>
          <w:p w:rsidR="00E10B76" w:rsidRDefault="00E10B76">
            <w:pPr>
              <w:pStyle w:val="ConsPlusNormal"/>
              <w:jc w:val="center"/>
            </w:pPr>
            <w:r>
              <w:t>(расшифровка подписи)</w:t>
            </w:r>
          </w:p>
        </w:tc>
      </w:tr>
      <w:tr w:rsidR="00E10B76" w:rsidTr="0052513E">
        <w:tblPrEx>
          <w:tblBorders>
            <w:top w:val="none" w:sz="0" w:space="0" w:color="auto"/>
            <w:bottom w:val="none" w:sz="0" w:space="0" w:color="auto"/>
            <w:insideH w:val="none" w:sz="0" w:space="0" w:color="auto"/>
            <w:insideV w:val="none" w:sz="0" w:space="0" w:color="auto"/>
          </w:tblBorders>
        </w:tblPrEx>
        <w:tc>
          <w:tcPr>
            <w:tcW w:w="3798" w:type="dxa"/>
            <w:gridSpan w:val="4"/>
            <w:tcBorders>
              <w:top w:val="nil"/>
              <w:left w:val="nil"/>
              <w:bottom w:val="nil"/>
              <w:right w:val="nil"/>
            </w:tcBorders>
          </w:tcPr>
          <w:p w:rsidR="00E10B76" w:rsidRDefault="00E10B76">
            <w:pPr>
              <w:pStyle w:val="ConsPlusNormal"/>
            </w:pPr>
            <w:r>
              <w:t>"__" _______ 20__ г.</w:t>
            </w:r>
          </w:p>
        </w:tc>
        <w:tc>
          <w:tcPr>
            <w:tcW w:w="340" w:type="dxa"/>
            <w:gridSpan w:val="2"/>
            <w:tcBorders>
              <w:top w:val="nil"/>
              <w:left w:val="nil"/>
              <w:bottom w:val="nil"/>
              <w:right w:val="nil"/>
            </w:tcBorders>
          </w:tcPr>
          <w:p w:rsidR="00E10B76" w:rsidRDefault="00E10B76">
            <w:pPr>
              <w:pStyle w:val="ConsPlusNormal"/>
            </w:pPr>
          </w:p>
        </w:tc>
        <w:tc>
          <w:tcPr>
            <w:tcW w:w="1417" w:type="dxa"/>
            <w:gridSpan w:val="2"/>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247" w:type="dxa"/>
            <w:gridSpan w:val="2"/>
            <w:tcBorders>
              <w:top w:val="nil"/>
              <w:left w:val="nil"/>
              <w:bottom w:val="nil"/>
              <w:right w:val="nil"/>
            </w:tcBorders>
          </w:tcPr>
          <w:p w:rsidR="00E10B76" w:rsidRDefault="00E10B76">
            <w:pPr>
              <w:pStyle w:val="ConsPlusNormal"/>
            </w:pPr>
          </w:p>
        </w:tc>
        <w:tc>
          <w:tcPr>
            <w:tcW w:w="340" w:type="dxa"/>
            <w:tcBorders>
              <w:top w:val="nil"/>
              <w:left w:val="nil"/>
              <w:bottom w:val="nil"/>
              <w:right w:val="nil"/>
            </w:tcBorders>
          </w:tcPr>
          <w:p w:rsidR="00E10B76" w:rsidRDefault="00E10B76">
            <w:pPr>
              <w:pStyle w:val="ConsPlusNormal"/>
            </w:pPr>
          </w:p>
        </w:tc>
        <w:tc>
          <w:tcPr>
            <w:tcW w:w="1532" w:type="dxa"/>
            <w:gridSpan w:val="3"/>
            <w:tcBorders>
              <w:top w:val="nil"/>
              <w:left w:val="nil"/>
              <w:bottom w:val="nil"/>
              <w:right w:val="nil"/>
            </w:tcBorders>
          </w:tcPr>
          <w:p w:rsidR="00E10B76" w:rsidRDefault="00E10B76">
            <w:pPr>
              <w:pStyle w:val="ConsPlusNormal"/>
            </w:pPr>
          </w:p>
        </w:tc>
      </w:tr>
    </w:tbl>
    <w:p w:rsidR="00715574" w:rsidRDefault="00715574" w:rsidP="0052513E"/>
    <w:sectPr w:rsidR="00715574" w:rsidSect="0052513E">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B76"/>
    <w:rsid w:val="00477A83"/>
    <w:rsid w:val="0052513E"/>
    <w:rsid w:val="00715574"/>
    <w:rsid w:val="00E10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10B7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E10B7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10B76"/>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10B7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E10B7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10B76"/>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6790&amp;dst=4624" TargetMode="External"/><Relationship Id="rId21" Type="http://schemas.openxmlformats.org/officeDocument/2006/relationships/hyperlink" Target="www.pravo.gov.ru" TargetMode="External"/><Relationship Id="rId42" Type="http://schemas.openxmlformats.org/officeDocument/2006/relationships/hyperlink" Target="https://login.consultant.ru/link/?req=doc&amp;base=LAW&amp;n=431240&amp;dst=100031" TargetMode="External"/><Relationship Id="rId47" Type="http://schemas.openxmlformats.org/officeDocument/2006/relationships/hyperlink" Target="https://login.consultant.ru/link/?req=doc&amp;base=LAW&amp;n=489683&amp;dst=100013" TargetMode="External"/><Relationship Id="rId63" Type="http://schemas.openxmlformats.org/officeDocument/2006/relationships/hyperlink" Target="https://login.consultant.ru/link/?req=doc&amp;base=LAW&amp;n=479915&amp;dst=100443" TargetMode="External"/><Relationship Id="rId68" Type="http://schemas.openxmlformats.org/officeDocument/2006/relationships/hyperlink" Target="https://login.consultant.ru/link/?req=doc&amp;base=LAW&amp;n=479915&amp;dst=100473" TargetMode="External"/><Relationship Id="rId84" Type="http://schemas.openxmlformats.org/officeDocument/2006/relationships/fontTable" Target="fontTable.xml"/><Relationship Id="rId16" Type="http://schemas.openxmlformats.org/officeDocument/2006/relationships/hyperlink" Target="https://login.consultant.ru/link/?req=doc&amp;base=LAW&amp;n=489683&amp;dst=100006" TargetMode="External"/><Relationship Id="rId11" Type="http://schemas.openxmlformats.org/officeDocument/2006/relationships/hyperlink" Target="https://login.consultant.ru/link/?req=doc&amp;base=LAW&amp;n=466790&amp;dst=103363" TargetMode="External"/><Relationship Id="rId32" Type="http://schemas.openxmlformats.org/officeDocument/2006/relationships/hyperlink" Target="https://login.consultant.ru/link/?req=doc&amp;base=LAW&amp;n=479915&amp;dst=100367" TargetMode="External"/><Relationship Id="rId37" Type="http://schemas.openxmlformats.org/officeDocument/2006/relationships/hyperlink" Target="https://login.consultant.ru/link/?req=doc&amp;base=LAW&amp;n=431240&amp;dst=100025" TargetMode="External"/><Relationship Id="rId53" Type="http://schemas.openxmlformats.org/officeDocument/2006/relationships/hyperlink" Target="https://login.consultant.ru/link/?req=doc&amp;base=LAW&amp;n=431240&amp;dst=100041" TargetMode="External"/><Relationship Id="rId58" Type="http://schemas.openxmlformats.org/officeDocument/2006/relationships/hyperlink" Target="https://login.consultant.ru/link/?req=doc&amp;base=LAW&amp;n=431240&amp;dst=100047" TargetMode="External"/><Relationship Id="rId74" Type="http://schemas.openxmlformats.org/officeDocument/2006/relationships/hyperlink" Target="https://login.consultant.ru/link/?req=doc&amp;base=LAW&amp;n=431240&amp;dst=100051" TargetMode="External"/><Relationship Id="rId79" Type="http://schemas.openxmlformats.org/officeDocument/2006/relationships/hyperlink" Target="https://login.consultant.ru/link/?req=doc&amp;base=LAW&amp;n=466790&amp;dst=6132" TargetMode="External"/><Relationship Id="rId5" Type="http://schemas.openxmlformats.org/officeDocument/2006/relationships/hyperlink" Target="https://login.consultant.ru/link/?req=doc&amp;base=LAW&amp;n=406834&amp;dst=100006" TargetMode="External"/><Relationship Id="rId19" Type="http://schemas.openxmlformats.org/officeDocument/2006/relationships/hyperlink" Target="https://login.consultant.ru/link/?req=doc&amp;base=LAW&amp;n=466790&amp;dst=6025" TargetMode="External"/><Relationship Id="rId14" Type="http://schemas.openxmlformats.org/officeDocument/2006/relationships/hyperlink" Target="https://login.consultant.ru/link/?req=doc&amp;base=LAW&amp;n=406834&amp;dst=100006" TargetMode="External"/><Relationship Id="rId22" Type="http://schemas.openxmlformats.org/officeDocument/2006/relationships/hyperlink" Target="https://login.consultant.ru/link/?req=doc&amp;base=LAW&amp;n=431240&amp;dst=100015" TargetMode="External"/><Relationship Id="rId27" Type="http://schemas.openxmlformats.org/officeDocument/2006/relationships/hyperlink" Target="https://login.consultant.ru/link/?req=doc&amp;base=LAW&amp;n=490999" TargetMode="External"/><Relationship Id="rId30" Type="http://schemas.openxmlformats.org/officeDocument/2006/relationships/hyperlink" Target="https://login.consultant.ru/link/?req=doc&amp;base=LAW&amp;n=431240&amp;dst=100018" TargetMode="External"/><Relationship Id="rId35" Type="http://schemas.openxmlformats.org/officeDocument/2006/relationships/hyperlink" Target="https://login.consultant.ru/link/?req=doc&amp;base=LAW&amp;n=466790&amp;dst=6746" TargetMode="External"/><Relationship Id="rId43" Type="http://schemas.openxmlformats.org/officeDocument/2006/relationships/hyperlink" Target="https://login.consultant.ru/link/?req=doc&amp;base=LAW&amp;n=466790&amp;dst=103035" TargetMode="External"/><Relationship Id="rId48" Type="http://schemas.openxmlformats.org/officeDocument/2006/relationships/hyperlink" Target="https://login.consultant.ru/link/?req=doc&amp;base=LAW&amp;n=489683&amp;dst=100014" TargetMode="External"/><Relationship Id="rId56" Type="http://schemas.openxmlformats.org/officeDocument/2006/relationships/hyperlink" Target="https://login.consultant.ru/link/?req=doc&amp;base=LAW&amp;n=431240&amp;dst=100045" TargetMode="External"/><Relationship Id="rId64" Type="http://schemas.openxmlformats.org/officeDocument/2006/relationships/hyperlink" Target="https://login.consultant.ru/link/?req=doc&amp;base=LAW&amp;n=479915&amp;dst=100456" TargetMode="External"/><Relationship Id="rId69" Type="http://schemas.openxmlformats.org/officeDocument/2006/relationships/hyperlink" Target="https://login.consultant.ru/link/?req=doc&amp;base=LAW&amp;n=479915&amp;dst=100476" TargetMode="External"/><Relationship Id="rId77" Type="http://schemas.openxmlformats.org/officeDocument/2006/relationships/hyperlink" Target="https://login.consultant.ru/link/?req=doc&amp;base=LAW&amp;n=431240&amp;dst=100052" TargetMode="External"/><Relationship Id="rId8" Type="http://schemas.openxmlformats.org/officeDocument/2006/relationships/hyperlink" Target="https://login.consultant.ru/link/?req=doc&amp;base=LAW&amp;n=466790&amp;dst=3654" TargetMode="External"/><Relationship Id="rId51" Type="http://schemas.openxmlformats.org/officeDocument/2006/relationships/hyperlink" Target="https://login.consultant.ru/link/?req=doc&amp;base=LAW&amp;n=492874&amp;dst=100858" TargetMode="External"/><Relationship Id="rId72" Type="http://schemas.openxmlformats.org/officeDocument/2006/relationships/hyperlink" Target="https://login.consultant.ru/link/?req=doc&amp;base=LAW&amp;n=431240&amp;dst=100049" TargetMode="External"/><Relationship Id="rId80" Type="http://schemas.openxmlformats.org/officeDocument/2006/relationships/hyperlink" Target="https://login.consultant.ru/link/?req=doc&amp;base=LAW&amp;n=344987&amp;dst=3949"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LAW&amp;n=284796" TargetMode="External"/><Relationship Id="rId17" Type="http://schemas.openxmlformats.org/officeDocument/2006/relationships/hyperlink" Target="https://login.consultant.ru/link/?req=doc&amp;base=LAW&amp;n=466790&amp;dst=6183" TargetMode="External"/><Relationship Id="rId25" Type="http://schemas.openxmlformats.org/officeDocument/2006/relationships/hyperlink" Target="https://login.consultant.ru/link/?req=doc&amp;base=LAW&amp;n=466790&amp;dst=3801" TargetMode="External"/><Relationship Id="rId33" Type="http://schemas.openxmlformats.org/officeDocument/2006/relationships/hyperlink" Target="https://login.consultant.ru/link/?req=doc&amp;base=LAW&amp;n=431240&amp;dst=100019" TargetMode="External"/><Relationship Id="rId38" Type="http://schemas.openxmlformats.org/officeDocument/2006/relationships/hyperlink" Target="https://login.consultant.ru/link/?req=doc&amp;base=LAW&amp;n=492874&amp;dst=100862" TargetMode="External"/><Relationship Id="rId46" Type="http://schemas.openxmlformats.org/officeDocument/2006/relationships/hyperlink" Target="https://login.consultant.ru/link/?req=doc&amp;base=LAW&amp;n=431240&amp;dst=100033" TargetMode="External"/><Relationship Id="rId59" Type="http://schemas.openxmlformats.org/officeDocument/2006/relationships/hyperlink" Target="https://login.consultant.ru/link/?req=doc&amp;base=LAW&amp;n=489683&amp;dst=100015" TargetMode="External"/><Relationship Id="rId67" Type="http://schemas.openxmlformats.org/officeDocument/2006/relationships/hyperlink" Target="https://login.consultant.ru/link/?req=doc&amp;base=LAW&amp;n=479915&amp;dst=100470" TargetMode="External"/><Relationship Id="rId20" Type="http://schemas.openxmlformats.org/officeDocument/2006/relationships/hyperlink" Target="https://login.consultant.ru/link/?req=doc&amp;base=LAW&amp;n=492874&amp;dst=100045" TargetMode="External"/><Relationship Id="rId41" Type="http://schemas.openxmlformats.org/officeDocument/2006/relationships/hyperlink" Target="https://login.consultant.ru/link/?req=doc&amp;base=LAW&amp;n=431240&amp;dst=100029" TargetMode="External"/><Relationship Id="rId54" Type="http://schemas.openxmlformats.org/officeDocument/2006/relationships/hyperlink" Target="https://login.consultant.ru/link/?req=doc&amp;base=LAW&amp;n=497890&amp;dst=5" TargetMode="External"/><Relationship Id="rId62" Type="http://schemas.openxmlformats.org/officeDocument/2006/relationships/hyperlink" Target="https://login.consultant.ru/link/?req=doc&amp;base=LAW&amp;n=489683&amp;dst=100016" TargetMode="External"/><Relationship Id="rId70" Type="http://schemas.openxmlformats.org/officeDocument/2006/relationships/hyperlink" Target="https://login.consultant.ru/link/?req=doc&amp;base=LAW&amp;n=479915&amp;dst=100468" TargetMode="External"/><Relationship Id="rId75" Type="http://schemas.openxmlformats.org/officeDocument/2006/relationships/hyperlink" Target="https://login.consultant.ru/link/?req=doc&amp;base=LAW&amp;n=477915&amp;dst=100016" TargetMode="External"/><Relationship Id="rId83" Type="http://schemas.openxmlformats.org/officeDocument/2006/relationships/hyperlink" Target="https://login.consultant.ru/link/?req=doc&amp;base=LAW&amp;n=495935&amp;dst=101916" TargetMode="External"/><Relationship Id="rId1" Type="http://schemas.openxmlformats.org/officeDocument/2006/relationships/styles" Target="styles.xml"/><Relationship Id="rId6" Type="http://schemas.openxmlformats.org/officeDocument/2006/relationships/hyperlink" Target="https://login.consultant.ru/link/?req=doc&amp;base=LAW&amp;n=431240&amp;dst=100006" TargetMode="External"/><Relationship Id="rId15" Type="http://schemas.openxmlformats.org/officeDocument/2006/relationships/hyperlink" Target="https://login.consultant.ru/link/?req=doc&amp;base=LAW&amp;n=431240&amp;dst=100006" TargetMode="External"/><Relationship Id="rId23" Type="http://schemas.openxmlformats.org/officeDocument/2006/relationships/hyperlink" Target="https://login.consultant.ru/link/?req=doc&amp;base=LAW&amp;n=466154&amp;dst=12021" TargetMode="External"/><Relationship Id="rId28" Type="http://schemas.openxmlformats.org/officeDocument/2006/relationships/hyperlink" Target="https://login.consultant.ru/link/?req=doc&amp;base=LAW&amp;n=483130&amp;dst=4591" TargetMode="External"/><Relationship Id="rId36" Type="http://schemas.openxmlformats.org/officeDocument/2006/relationships/hyperlink" Target="https://login.consultant.ru/link/?req=doc&amp;base=LAW&amp;n=431240&amp;dst=100023" TargetMode="External"/><Relationship Id="rId49" Type="http://schemas.openxmlformats.org/officeDocument/2006/relationships/hyperlink" Target="https://login.consultant.ru/link/?req=doc&amp;base=LAW&amp;n=431240&amp;dst=100037" TargetMode="External"/><Relationship Id="rId57" Type="http://schemas.openxmlformats.org/officeDocument/2006/relationships/hyperlink" Target="https://login.consultant.ru/link/?req=doc&amp;base=LAW&amp;n=431240&amp;dst=100046" TargetMode="External"/><Relationship Id="rId10" Type="http://schemas.openxmlformats.org/officeDocument/2006/relationships/hyperlink" Target="https://login.consultant.ru/link/?req=doc&amp;base=LAW&amp;n=466790&amp;dst=4913" TargetMode="External"/><Relationship Id="rId31" Type="http://schemas.openxmlformats.org/officeDocument/2006/relationships/hyperlink" Target="https://login.consultant.ru/link/?req=doc&amp;base=LAW&amp;n=466790&amp;dst=2589" TargetMode="External"/><Relationship Id="rId44" Type="http://schemas.openxmlformats.org/officeDocument/2006/relationships/hyperlink" Target="https://login.consultant.ru/link/?req=doc&amp;base=LAW&amp;n=490060&amp;dst=101014" TargetMode="External"/><Relationship Id="rId52" Type="http://schemas.openxmlformats.org/officeDocument/2006/relationships/hyperlink" Target="https://login.consultant.ru/link/?req=doc&amp;base=LAW&amp;n=480086&amp;dst=100110" TargetMode="External"/><Relationship Id="rId60" Type="http://schemas.openxmlformats.org/officeDocument/2006/relationships/hyperlink" Target="https://login.consultant.ru/link/?req=doc&amp;base=LAW&amp;n=490060&amp;dst=101014" TargetMode="External"/><Relationship Id="rId65" Type="http://schemas.openxmlformats.org/officeDocument/2006/relationships/hyperlink" Target="https://login.consultant.ru/link/?req=doc&amp;base=LAW&amp;n=479915&amp;dst=100464" TargetMode="External"/><Relationship Id="rId73" Type="http://schemas.openxmlformats.org/officeDocument/2006/relationships/hyperlink" Target="https://login.consultant.ru/link/?req=doc&amp;base=LAW&amp;n=431240&amp;dst=100050" TargetMode="External"/><Relationship Id="rId78" Type="http://schemas.openxmlformats.org/officeDocument/2006/relationships/hyperlink" Target="https://login.consultant.ru/link/?req=doc&amp;base=LAW&amp;n=431240&amp;dst=100060" TargetMode="External"/><Relationship Id="rId81" Type="http://schemas.openxmlformats.org/officeDocument/2006/relationships/hyperlink" Target="https://login.consultant.ru/link/?req=doc&amp;base=LAW&amp;n=431240&amp;dst=10006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6790&amp;dst=2592" TargetMode="External"/><Relationship Id="rId13" Type="http://schemas.openxmlformats.org/officeDocument/2006/relationships/hyperlink" Target="https://login.consultant.ru/link/?req=doc&amp;base=LAW&amp;n=284744" TargetMode="External"/><Relationship Id="rId18" Type="http://schemas.openxmlformats.org/officeDocument/2006/relationships/hyperlink" Target="https://login.consultant.ru/link/?req=doc&amp;base=LAW&amp;n=431240&amp;dst=100014" TargetMode="External"/><Relationship Id="rId39" Type="http://schemas.openxmlformats.org/officeDocument/2006/relationships/hyperlink" Target="www.pravo.gov.ru" TargetMode="External"/><Relationship Id="rId34" Type="http://schemas.openxmlformats.org/officeDocument/2006/relationships/hyperlink" Target="https://login.consultant.ru/link/?req=doc&amp;base=LAW&amp;n=431240&amp;dst=100021" TargetMode="External"/><Relationship Id="rId50" Type="http://schemas.openxmlformats.org/officeDocument/2006/relationships/hyperlink" Target="https://login.consultant.ru/link/?req=doc&amp;base=LAW&amp;n=431240&amp;dst=100039" TargetMode="External"/><Relationship Id="rId55" Type="http://schemas.openxmlformats.org/officeDocument/2006/relationships/hyperlink" Target="https://login.consultant.ru/link/?req=doc&amp;base=LAW&amp;n=431240&amp;dst=100043" TargetMode="External"/><Relationship Id="rId76" Type="http://schemas.openxmlformats.org/officeDocument/2006/relationships/hyperlink" Target="https://login.consultant.ru/link/?req=doc&amp;base=LAW&amp;n=479915&amp;dst=58" TargetMode="External"/><Relationship Id="rId7" Type="http://schemas.openxmlformats.org/officeDocument/2006/relationships/hyperlink" Target="https://login.consultant.ru/link/?req=doc&amp;base=LAW&amp;n=489683&amp;dst=100006" TargetMode="External"/><Relationship Id="rId71" Type="http://schemas.openxmlformats.org/officeDocument/2006/relationships/hyperlink" Target="https://login.consultant.ru/link/?req=doc&amp;base=LAW&amp;n=406834&amp;dst=10000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6790&amp;dst=103142" TargetMode="External"/><Relationship Id="rId24" Type="http://schemas.openxmlformats.org/officeDocument/2006/relationships/hyperlink" Target="https://login.consultant.ru/link/?req=doc&amp;base=LAW&amp;n=431240&amp;dst=100017" TargetMode="External"/><Relationship Id="rId40" Type="http://schemas.openxmlformats.org/officeDocument/2006/relationships/hyperlink" Target="https://login.consultant.ru/link/?req=doc&amp;base=LAW&amp;n=431240&amp;dst=100027" TargetMode="External"/><Relationship Id="rId45" Type="http://schemas.openxmlformats.org/officeDocument/2006/relationships/hyperlink" Target="https://login.consultant.ru/link/?req=doc&amp;base=LAW&amp;n=490060" TargetMode="External"/><Relationship Id="rId66" Type="http://schemas.openxmlformats.org/officeDocument/2006/relationships/hyperlink" Target="https://login.consultant.ru/link/?req=doc&amp;base=LAW&amp;n=479915&amp;dst=100469" TargetMode="External"/><Relationship Id="rId61" Type="http://schemas.openxmlformats.org/officeDocument/2006/relationships/hyperlink" Target="https://login.consultant.ru/link/?req=doc&amp;base=LAW&amp;n=490060&amp;dst=101014" TargetMode="External"/><Relationship Id="rId82" Type="http://schemas.openxmlformats.org/officeDocument/2006/relationships/hyperlink" Target="https://login.consultant.ru/link/?req=doc&amp;base=LAW&amp;n=495935&amp;dst=1019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14</Pages>
  <Words>6992</Words>
  <Characters>39856</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1</cp:revision>
  <dcterms:created xsi:type="dcterms:W3CDTF">2025-03-03T12:00:00Z</dcterms:created>
  <dcterms:modified xsi:type="dcterms:W3CDTF">2025-03-03T12:28:00Z</dcterms:modified>
</cp:coreProperties>
</file>